
<file path=[Content_Types].xml><?xml version="1.0" encoding="utf-8"?>
<Types xmlns="http://schemas.openxmlformats.org/package/2006/content-types">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45" w:rsidRPr="001F363B" w:rsidRDefault="001F363B" w:rsidP="00894545">
      <w:pPr>
        <w:spacing w:after="120" w:line="240" w:lineRule="auto"/>
        <w:contextualSpacing/>
        <w:rPr>
          <w:rFonts w:ascii="Times New Roman" w:hAnsi="Times New Roman"/>
          <w:b/>
          <w:bCs/>
          <w:noProof/>
          <w:color w:val="000000"/>
          <w:sz w:val="28"/>
          <w:szCs w:val="28"/>
          <w:lang w:val="en-US"/>
        </w:rPr>
      </w:pPr>
      <w:r>
        <w:rPr>
          <w:rFonts w:ascii="Times New Roman" w:hAnsi="Times New Roman"/>
          <w:b/>
          <w:noProof/>
          <w:color w:val="000000"/>
          <w:sz w:val="28"/>
          <w:szCs w:val="28"/>
          <w:lang w:val="en-US"/>
        </w:rPr>
        <w:t>The Uniqueness of STAD and CIRC Models in Poetry Learning</w:t>
      </w:r>
    </w:p>
    <w:p w:rsidR="00894545" w:rsidRPr="00430EF7" w:rsidRDefault="00894545" w:rsidP="00894545">
      <w:pPr>
        <w:pStyle w:val="NormalWeb"/>
        <w:spacing w:before="0" w:beforeAutospacing="0" w:after="120" w:afterAutospacing="0"/>
        <w:rPr>
          <w:rStyle w:val="notranslate"/>
          <w:b/>
          <w:bCs/>
          <w:noProof/>
          <w:color w:val="000000"/>
          <w:vertAlign w:val="superscript"/>
          <w:lang w:val="id-ID"/>
        </w:rPr>
      </w:pPr>
      <w:r w:rsidRPr="00430EF7">
        <w:rPr>
          <w:rStyle w:val="notranslate"/>
          <w:b/>
          <w:bCs/>
          <w:noProof/>
          <w:lang w:val="id-ID"/>
        </w:rPr>
        <w:t>Diyan Permata Yanda</w:t>
      </w:r>
      <w:r w:rsidRPr="00430EF7">
        <w:rPr>
          <w:rStyle w:val="notranslate"/>
          <w:b/>
          <w:bCs/>
          <w:noProof/>
          <w:vertAlign w:val="superscript"/>
          <w:lang w:val="id-ID"/>
        </w:rPr>
        <w:t>a,b,1</w:t>
      </w:r>
      <w:r w:rsidRPr="00430EF7">
        <w:rPr>
          <w:rStyle w:val="notranslate"/>
          <w:b/>
          <w:bCs/>
          <w:noProof/>
          <w:lang w:val="id-ID"/>
        </w:rPr>
        <w:t>,</w:t>
      </w:r>
      <w:r w:rsidRPr="00430EF7">
        <w:rPr>
          <w:noProof/>
          <w:lang w:val="id-ID"/>
        </w:rPr>
        <w:t xml:space="preserve"> </w:t>
      </w:r>
      <w:r w:rsidRPr="00430EF7">
        <w:rPr>
          <w:rStyle w:val="notranslate"/>
          <w:b/>
          <w:bCs/>
          <w:noProof/>
          <w:lang w:val="id-ID"/>
        </w:rPr>
        <w:t>Dina Ramadhanti</w:t>
      </w:r>
      <w:r w:rsidRPr="00430EF7">
        <w:rPr>
          <w:rStyle w:val="notranslate"/>
          <w:b/>
          <w:bCs/>
          <w:noProof/>
          <w:vertAlign w:val="superscript"/>
          <w:lang w:val="id-ID"/>
        </w:rPr>
        <w:t>a,2</w:t>
      </w:r>
    </w:p>
    <w:p w:rsidR="00894545" w:rsidRPr="00430EF7" w:rsidRDefault="00894545" w:rsidP="00894545">
      <w:pPr>
        <w:pStyle w:val="AuthorAffiliation"/>
        <w:spacing w:line="240" w:lineRule="auto"/>
        <w:jc w:val="left"/>
        <w:rPr>
          <w:i w:val="0"/>
          <w:sz w:val="20"/>
          <w:lang w:val="id-ID"/>
        </w:rPr>
      </w:pPr>
      <w:r w:rsidRPr="00430EF7">
        <w:rPr>
          <w:i w:val="0"/>
          <w:sz w:val="20"/>
          <w:vertAlign w:val="superscript"/>
          <w:lang w:val="id-ID"/>
        </w:rPr>
        <w:t xml:space="preserve">a </w:t>
      </w:r>
      <w:r w:rsidRPr="00430EF7">
        <w:rPr>
          <w:i w:val="0"/>
          <w:sz w:val="20"/>
          <w:lang w:val="id-ID"/>
        </w:rPr>
        <w:t>IAIN Bukittinggi, Indonesia</w:t>
      </w:r>
    </w:p>
    <w:p w:rsidR="00894545" w:rsidRPr="00430EF7" w:rsidRDefault="00894545" w:rsidP="00894545">
      <w:pPr>
        <w:pStyle w:val="AuthorAffiliation"/>
        <w:spacing w:line="240" w:lineRule="auto"/>
        <w:jc w:val="left"/>
        <w:rPr>
          <w:i w:val="0"/>
          <w:sz w:val="20"/>
          <w:lang w:val="id-ID"/>
        </w:rPr>
      </w:pPr>
      <w:r w:rsidRPr="00430EF7">
        <w:rPr>
          <w:i w:val="0"/>
          <w:sz w:val="20"/>
          <w:vertAlign w:val="superscript"/>
          <w:lang w:val="id-ID"/>
        </w:rPr>
        <w:t>b</w:t>
      </w:r>
      <w:r w:rsidRPr="00430EF7">
        <w:rPr>
          <w:i w:val="0"/>
          <w:sz w:val="20"/>
          <w:lang w:val="id-ID"/>
        </w:rPr>
        <w:t xml:space="preserve"> STKIP PGRI Sumatera Barat, Indonesia</w:t>
      </w:r>
    </w:p>
    <w:p w:rsidR="00894545" w:rsidRPr="00430EF7" w:rsidRDefault="00894545" w:rsidP="00894545">
      <w:pPr>
        <w:spacing w:after="0"/>
        <w:rPr>
          <w:rFonts w:ascii="Times New Roman" w:hAnsi="Times New Roman"/>
          <w:noProof/>
          <w:sz w:val="20"/>
          <w:szCs w:val="20"/>
        </w:rPr>
      </w:pPr>
      <w:r w:rsidRPr="00430EF7">
        <w:rPr>
          <w:rStyle w:val="notranslate"/>
          <w:rFonts w:ascii="Times New Roman" w:hAnsi="Times New Roman"/>
          <w:noProof/>
          <w:sz w:val="20"/>
          <w:szCs w:val="20"/>
          <w:vertAlign w:val="superscript"/>
        </w:rPr>
        <w:t>1</w:t>
      </w:r>
      <w:r w:rsidRPr="00430EF7">
        <w:rPr>
          <w:rStyle w:val="notranslate"/>
          <w:rFonts w:ascii="Times New Roman" w:hAnsi="Times New Roman"/>
          <w:noProof/>
          <w:sz w:val="20"/>
          <w:szCs w:val="20"/>
        </w:rPr>
        <w:t xml:space="preserve">diyan_yanda@yahoo.com; </w:t>
      </w:r>
      <w:r w:rsidRPr="00430EF7">
        <w:rPr>
          <w:rStyle w:val="notranslate"/>
          <w:rFonts w:ascii="Times New Roman" w:hAnsi="Times New Roman"/>
          <w:noProof/>
          <w:sz w:val="20"/>
          <w:szCs w:val="20"/>
          <w:vertAlign w:val="superscript"/>
        </w:rPr>
        <w:t>2</w:t>
      </w:r>
      <w:r w:rsidRPr="00430EF7">
        <w:rPr>
          <w:rFonts w:ascii="Times New Roman" w:hAnsi="Times New Roman"/>
          <w:noProof/>
          <w:sz w:val="20"/>
          <w:szCs w:val="20"/>
        </w:rPr>
        <w:t>dina_ramadhanti89@yahoo.com</w:t>
      </w:r>
    </w:p>
    <w:p w:rsidR="00894545" w:rsidRPr="00430EF7" w:rsidRDefault="00894545" w:rsidP="00894545">
      <w:pPr>
        <w:spacing w:after="0"/>
        <w:rPr>
          <w:rFonts w:ascii="Times New Roman" w:hAnsi="Times New Roman"/>
          <w:noProof/>
          <w:sz w:val="20"/>
          <w:szCs w:val="20"/>
        </w:rPr>
      </w:pPr>
    </w:p>
    <w:tbl>
      <w:tblPr>
        <w:tblW w:w="0" w:type="auto"/>
        <w:tblBorders>
          <w:top w:val="single" w:sz="4" w:space="0" w:color="auto"/>
          <w:bottom w:val="single" w:sz="4" w:space="0" w:color="auto"/>
        </w:tblBorders>
        <w:tblLook w:val="04A0"/>
      </w:tblPr>
      <w:tblGrid>
        <w:gridCol w:w="2199"/>
        <w:gridCol w:w="6522"/>
      </w:tblGrid>
      <w:tr w:rsidR="00894545" w:rsidRPr="00430EF7" w:rsidTr="000263CB">
        <w:tc>
          <w:tcPr>
            <w:tcW w:w="2235" w:type="dxa"/>
            <w:tcBorders>
              <w:top w:val="single" w:sz="4" w:space="0" w:color="auto"/>
              <w:bottom w:val="single" w:sz="4" w:space="0" w:color="auto"/>
            </w:tcBorders>
            <w:shd w:val="clear" w:color="auto" w:fill="auto"/>
          </w:tcPr>
          <w:p w:rsidR="00894545" w:rsidRPr="00430EF7" w:rsidRDefault="00894545" w:rsidP="000263CB">
            <w:pPr>
              <w:spacing w:before="120" w:after="120" w:line="240" w:lineRule="auto"/>
              <w:rPr>
                <w:rFonts w:ascii="Times New Roman" w:hAnsi="Times New Roman"/>
                <w:noProof/>
                <w:sz w:val="16"/>
                <w:szCs w:val="16"/>
              </w:rPr>
            </w:pPr>
            <w:r w:rsidRPr="00430EF7">
              <w:rPr>
                <w:rFonts w:ascii="Times New Roman" w:hAnsi="Times New Roman"/>
                <w:i/>
                <w:noProof/>
                <w:sz w:val="16"/>
                <w:szCs w:val="16"/>
              </w:rPr>
              <w:t>Article info</w:t>
            </w:r>
          </w:p>
        </w:tc>
        <w:tc>
          <w:tcPr>
            <w:tcW w:w="6662" w:type="dxa"/>
            <w:tcBorders>
              <w:top w:val="single" w:sz="4" w:space="0" w:color="auto"/>
              <w:bottom w:val="single" w:sz="4" w:space="0" w:color="auto"/>
            </w:tcBorders>
            <w:shd w:val="clear" w:color="auto" w:fill="auto"/>
          </w:tcPr>
          <w:p w:rsidR="00894545" w:rsidRPr="00430EF7" w:rsidRDefault="00894545" w:rsidP="000263CB">
            <w:pPr>
              <w:spacing w:before="120" w:after="120" w:line="240" w:lineRule="auto"/>
              <w:rPr>
                <w:rFonts w:ascii="Times New Roman" w:hAnsi="Times New Roman"/>
                <w:noProof/>
              </w:rPr>
            </w:pPr>
            <w:r w:rsidRPr="00430EF7">
              <w:rPr>
                <w:rFonts w:ascii="Times New Roman" w:hAnsi="Times New Roman"/>
                <w:noProof/>
              </w:rPr>
              <w:t>A B S T R A C T</w:t>
            </w:r>
          </w:p>
        </w:tc>
      </w:tr>
      <w:tr w:rsidR="00894545" w:rsidRPr="00430EF7" w:rsidTr="000263CB">
        <w:tc>
          <w:tcPr>
            <w:tcW w:w="2235" w:type="dxa"/>
            <w:tcBorders>
              <w:top w:val="single" w:sz="4" w:space="0" w:color="auto"/>
            </w:tcBorders>
            <w:shd w:val="clear" w:color="auto" w:fill="auto"/>
          </w:tcPr>
          <w:p w:rsidR="00894545" w:rsidRPr="00430EF7" w:rsidRDefault="00894545" w:rsidP="000263CB">
            <w:pPr>
              <w:pStyle w:val="Articlehistory"/>
              <w:rPr>
                <w:noProof/>
                <w:lang w:val="id-ID"/>
              </w:rPr>
            </w:pPr>
            <w:r w:rsidRPr="00430EF7">
              <w:rPr>
                <w:noProof/>
                <w:lang w:val="id-ID"/>
              </w:rPr>
              <w:t>Article history:</w:t>
            </w:r>
          </w:p>
          <w:p w:rsidR="00894545" w:rsidRPr="00430EF7" w:rsidRDefault="00894545" w:rsidP="000263CB">
            <w:pPr>
              <w:pStyle w:val="Articlehistory"/>
              <w:rPr>
                <w:i w:val="0"/>
                <w:iCs/>
                <w:noProof/>
                <w:lang w:val="id-ID"/>
              </w:rPr>
            </w:pPr>
            <w:r w:rsidRPr="00430EF7">
              <w:rPr>
                <w:i w:val="0"/>
                <w:iCs/>
                <w:noProof/>
                <w:lang w:val="id-ID"/>
              </w:rPr>
              <w:t xml:space="preserve">Received: </w:t>
            </w:r>
          </w:p>
          <w:p w:rsidR="00894545" w:rsidRPr="00430EF7" w:rsidRDefault="00894545" w:rsidP="000263CB">
            <w:pPr>
              <w:pStyle w:val="Articlehistory"/>
              <w:rPr>
                <w:i w:val="0"/>
                <w:iCs/>
                <w:noProof/>
                <w:lang w:val="id-ID"/>
              </w:rPr>
            </w:pPr>
            <w:r w:rsidRPr="00430EF7">
              <w:rPr>
                <w:i w:val="0"/>
                <w:iCs/>
                <w:noProof/>
                <w:lang w:val="id-ID"/>
              </w:rPr>
              <w:t xml:space="preserve">Revised  : </w:t>
            </w:r>
          </w:p>
          <w:p w:rsidR="00894545" w:rsidRPr="00430EF7" w:rsidRDefault="00894545" w:rsidP="000263CB">
            <w:pPr>
              <w:spacing w:after="0"/>
              <w:rPr>
                <w:rFonts w:ascii="Times New Roman" w:hAnsi="Times New Roman"/>
                <w:noProof/>
                <w:sz w:val="16"/>
                <w:szCs w:val="16"/>
              </w:rPr>
            </w:pPr>
            <w:r w:rsidRPr="00430EF7">
              <w:rPr>
                <w:rFonts w:ascii="Times New Roman" w:hAnsi="Times New Roman"/>
                <w:iCs/>
                <w:noProof/>
                <w:sz w:val="16"/>
                <w:szCs w:val="16"/>
              </w:rPr>
              <w:t>Accepted:</w:t>
            </w:r>
          </w:p>
        </w:tc>
        <w:tc>
          <w:tcPr>
            <w:tcW w:w="6662" w:type="dxa"/>
            <w:tcBorders>
              <w:top w:val="single" w:sz="4" w:space="0" w:color="auto"/>
            </w:tcBorders>
            <w:shd w:val="clear" w:color="auto" w:fill="auto"/>
          </w:tcPr>
          <w:p w:rsidR="00894545" w:rsidRPr="00430EF7" w:rsidRDefault="00894545" w:rsidP="000263CB">
            <w:pPr>
              <w:spacing w:after="0"/>
              <w:jc w:val="both"/>
              <w:rPr>
                <w:rFonts w:ascii="Times New Roman" w:hAnsi="Times New Roman"/>
                <w:noProof/>
                <w:sz w:val="14"/>
                <w:szCs w:val="17"/>
              </w:rPr>
            </w:pPr>
            <w:r w:rsidRPr="00430EF7">
              <w:rPr>
                <w:rFonts w:ascii="Times New Roman" w:hAnsi="Times New Roman"/>
                <w:noProof/>
                <w:sz w:val="18"/>
              </w:rPr>
              <w:t>This study aims to describe the uniqueness of the STAD (Student Team Achievement Division) and CIRC (Cooperative Integrated Reading and Composition) Models in poetry learning. This type of research is quantitative with pure experimental methods. The experimental design used was the randomized posttest only control group design. The research sample was selected randomly by means of the average similarity test and two classes were selected for the Experiment I class and the Experiment II class. The experimental class I received poetry teaching using the STAD model and the experimental class II received poetry teaching using the CIRC model. The results showed that both learning models could be used in poetry learning because they had an impact on improving poetry comprehension skills, increasing social skills in interpreting poetry content, and improving the process and overall learning outcomes of poetry. The two models also have their own uniqueness so that they are suitable for use in learning poetry. The uniqueness of the STAD model is the provision of rewards that encourage students to collaborate in groups. Students are encouraged to be responsible for themselves and their groups. Students who have high abilities must help students with low abilities so that their abilities in the group are evenly distributed and can both participate in learning poetry. The uniqueness of the CIRC model is the division of groups based on the level of interest in reading students so that students who have high reading interest help students who have a low reading interest. They also work together and motivate each other to write down their understanding of the meaning of the poetry.</w:t>
            </w:r>
          </w:p>
          <w:p w:rsidR="00894545" w:rsidRPr="00430EF7" w:rsidRDefault="00894545" w:rsidP="000263CB">
            <w:pPr>
              <w:spacing w:after="0"/>
              <w:rPr>
                <w:rFonts w:ascii="Times New Roman" w:hAnsi="Times New Roman"/>
                <w:noProof/>
                <w:sz w:val="17"/>
                <w:szCs w:val="17"/>
              </w:rPr>
            </w:pPr>
          </w:p>
        </w:tc>
      </w:tr>
      <w:tr w:rsidR="00894545" w:rsidRPr="00430EF7" w:rsidTr="000263CB">
        <w:tc>
          <w:tcPr>
            <w:tcW w:w="2235" w:type="dxa"/>
            <w:shd w:val="clear" w:color="auto" w:fill="auto"/>
          </w:tcPr>
          <w:p w:rsidR="00894545" w:rsidRPr="00430EF7" w:rsidRDefault="00894545" w:rsidP="000263CB">
            <w:pPr>
              <w:pStyle w:val="KeywordHead"/>
              <w:rPr>
                <w:lang w:val="id-ID"/>
              </w:rPr>
            </w:pPr>
            <w:r w:rsidRPr="00430EF7">
              <w:rPr>
                <w:lang w:val="id-ID"/>
              </w:rPr>
              <w:t>Keywords:</w:t>
            </w:r>
          </w:p>
          <w:p w:rsidR="00894545" w:rsidRPr="00430EF7" w:rsidRDefault="00894545" w:rsidP="000263CB">
            <w:pPr>
              <w:pStyle w:val="Keyword"/>
              <w:rPr>
                <w:noProof/>
                <w:lang w:val="id-ID"/>
              </w:rPr>
            </w:pPr>
            <w:r w:rsidRPr="00430EF7">
              <w:rPr>
                <w:noProof/>
                <w:lang w:val="id-ID"/>
              </w:rPr>
              <w:t>STAD</w:t>
            </w:r>
          </w:p>
          <w:p w:rsidR="00894545" w:rsidRPr="00430EF7" w:rsidRDefault="00894545" w:rsidP="000263CB">
            <w:pPr>
              <w:pStyle w:val="Keyword"/>
              <w:rPr>
                <w:iCs/>
                <w:noProof/>
                <w:lang w:val="id-ID"/>
              </w:rPr>
            </w:pPr>
            <w:r w:rsidRPr="00430EF7">
              <w:rPr>
                <w:noProof/>
                <w:lang w:val="id-ID"/>
              </w:rPr>
              <w:t>CIRC</w:t>
            </w:r>
          </w:p>
          <w:p w:rsidR="00894545" w:rsidRPr="00430EF7" w:rsidRDefault="00894545" w:rsidP="000263CB">
            <w:pPr>
              <w:pStyle w:val="Keyword"/>
              <w:rPr>
                <w:iCs/>
                <w:noProof/>
                <w:lang w:val="id-ID"/>
              </w:rPr>
            </w:pPr>
            <w:r w:rsidRPr="00430EF7">
              <w:rPr>
                <w:iCs/>
                <w:noProof/>
                <w:lang w:val="id-ID"/>
              </w:rPr>
              <w:t>Poetry</w:t>
            </w:r>
          </w:p>
          <w:p w:rsidR="00894545" w:rsidRPr="00430EF7" w:rsidRDefault="00894545" w:rsidP="000263CB">
            <w:pPr>
              <w:pStyle w:val="Keyword"/>
              <w:rPr>
                <w:noProof/>
                <w:lang w:val="id-ID"/>
              </w:rPr>
            </w:pPr>
            <w:r w:rsidRPr="00430EF7">
              <w:rPr>
                <w:noProof/>
                <w:lang w:val="id-ID"/>
              </w:rPr>
              <w:t>Learning</w:t>
            </w:r>
          </w:p>
        </w:tc>
        <w:tc>
          <w:tcPr>
            <w:tcW w:w="6662" w:type="dxa"/>
            <w:shd w:val="clear" w:color="auto" w:fill="auto"/>
          </w:tcPr>
          <w:p w:rsidR="00894545" w:rsidRPr="00430EF7" w:rsidRDefault="00894545" w:rsidP="000263CB">
            <w:pPr>
              <w:pStyle w:val="Copyright"/>
              <w:framePr w:hSpace="0" w:wrap="auto" w:vAnchor="margin" w:yAlign="inline"/>
              <w:suppressOverlap w:val="0"/>
              <w:jc w:val="both"/>
              <w:rPr>
                <w:noProof/>
                <w:sz w:val="18"/>
                <w:lang w:val="id-ID"/>
              </w:rPr>
            </w:pPr>
            <w:r w:rsidRPr="00430EF7">
              <w:rPr>
                <w:noProof/>
                <w:sz w:val="18"/>
                <w:lang w:val="id-ID"/>
              </w:rPr>
              <w:t>Penelitian ini bertujuan untuk mendeskripsikan keunikan Model STAD (</w:t>
            </w:r>
            <w:r w:rsidRPr="00430EF7">
              <w:rPr>
                <w:i/>
                <w:noProof/>
                <w:sz w:val="18"/>
                <w:lang w:val="id-ID"/>
              </w:rPr>
              <w:t>Student Team Achievement Division</w:t>
            </w:r>
            <w:r w:rsidRPr="00430EF7">
              <w:rPr>
                <w:noProof/>
                <w:sz w:val="18"/>
                <w:lang w:val="id-ID"/>
              </w:rPr>
              <w:t>) dan CIRC (</w:t>
            </w:r>
            <w:r w:rsidRPr="00430EF7">
              <w:rPr>
                <w:i/>
                <w:noProof/>
                <w:sz w:val="18"/>
                <w:lang w:val="id-ID"/>
              </w:rPr>
              <w:t>Cooperative Integrated Reading and Composition</w:t>
            </w:r>
            <w:r w:rsidRPr="00430EF7">
              <w:rPr>
                <w:noProof/>
                <w:sz w:val="18"/>
                <w:lang w:val="id-ID"/>
              </w:rPr>
              <w:t xml:space="preserve">) dalam pembelajaran puisi.  Jenis penelitian ini adalah kuantitatif dengan metode eksperimen murni.  Desain eksperimen yang digunakan adalah </w:t>
            </w:r>
            <w:r w:rsidRPr="00430EF7">
              <w:rPr>
                <w:i/>
                <w:noProof/>
                <w:sz w:val="18"/>
                <w:lang w:val="id-ID"/>
              </w:rPr>
              <w:t>the randomized posttest only control group design</w:t>
            </w:r>
            <w:r w:rsidRPr="00430EF7">
              <w:rPr>
                <w:noProof/>
                <w:sz w:val="18"/>
                <w:lang w:val="id-ID"/>
              </w:rPr>
              <w:t xml:space="preserve">. Sampel penelitian dipilih secara random dengan uji kesamaan rata-rata dan terpilihlah dua kelas untuk kelas Eksperimen I dan kelas Eksperimen II. Kelas eksperimen I menerima pengajaran puisi dengan model STAD dan kelas eksperimen II menerima pengajaran puisi dengan model CIRC. Hasil penelitian menunjukkan bahwa kedua model pembelajaran dapat digunakan dalam pembelajaran puisi karena memberi dampak pada peningkatan keterampilan memahami puisi, peningkatan kemampuan sosial dalam hal memaknai isi puisi, dan peningkatan proses dan hasil belajar puisi secara keseluruhan. Kedua model juga memiliki keunikan masing-masing sehingga layak digunakan dalam pembelajaran puisi. Keunikan model STAD adalah pemberian reward yang memberikan dorongan kepada mahasiswa untuk berkolaborasi kelompok. Mahasiswa didorong untuk bertanggung jawab pada dirinya dan kelompoknya. Mahasiswa yang memiliki kemampuan tinggi harus membantu mahasiswa yang memiliki kemampuan rendah agar kemampuan mereka dalam kelompok merata dan bisa sama-sama mengikuti pembelajaran puisi. Keunikan model CIRC adalah pembagian kelompok yang didasarkan pada tinggi rendahnya minat baca </w:t>
            </w:r>
            <w:r>
              <w:rPr>
                <w:noProof/>
                <w:sz w:val="18"/>
                <w:lang w:val="en-US"/>
              </w:rPr>
              <w:t>maha</w:t>
            </w:r>
            <w:r w:rsidRPr="00430EF7">
              <w:rPr>
                <w:noProof/>
                <w:sz w:val="18"/>
                <w:lang w:val="id-ID"/>
              </w:rPr>
              <w:t xml:space="preserve">siswa sehingga </w:t>
            </w:r>
            <w:r>
              <w:rPr>
                <w:noProof/>
                <w:sz w:val="18"/>
                <w:lang w:val="en-US"/>
              </w:rPr>
              <w:t>maha</w:t>
            </w:r>
            <w:r w:rsidRPr="00430EF7">
              <w:rPr>
                <w:noProof/>
                <w:sz w:val="18"/>
                <w:lang w:val="id-ID"/>
              </w:rPr>
              <w:t>siswa yang memiliki minat baca tinggi membantu mahasiswa yang memiliki minat baca rendah. Mereka juga bekerja sama dan saling memotivasi untuk menuliskan pemahaman mereka tentang makna puisi.</w:t>
            </w:r>
          </w:p>
          <w:p w:rsidR="00894545" w:rsidRPr="00430EF7" w:rsidRDefault="00894545" w:rsidP="000263CB">
            <w:pPr>
              <w:pStyle w:val="Copyright"/>
              <w:framePr w:hSpace="0" w:wrap="auto" w:vAnchor="margin" w:yAlign="inline"/>
              <w:suppressOverlap w:val="0"/>
              <w:jc w:val="both"/>
              <w:rPr>
                <w:noProof/>
                <w:lang w:val="id-ID"/>
              </w:rPr>
            </w:pPr>
          </w:p>
          <w:p w:rsidR="00894545" w:rsidRPr="00430EF7" w:rsidRDefault="00894545" w:rsidP="000263CB">
            <w:pPr>
              <w:pStyle w:val="Copyright"/>
              <w:framePr w:hSpace="0" w:wrap="auto" w:vAnchor="margin" w:yAlign="inline"/>
              <w:suppressOverlap w:val="0"/>
              <w:rPr>
                <w:noProof/>
                <w:lang w:val="id-ID"/>
              </w:rPr>
            </w:pPr>
            <w:r w:rsidRPr="00430EF7">
              <w:rPr>
                <w:noProof/>
                <w:lang w:val="id-ID"/>
              </w:rPr>
              <w:t>Copyright © 2019 Institut Agama Islam Negeri Syekh Nurjati Cirebon.</w:t>
            </w:r>
          </w:p>
          <w:p w:rsidR="00894545" w:rsidRPr="00430EF7" w:rsidRDefault="00894545" w:rsidP="000263CB">
            <w:pPr>
              <w:pStyle w:val="Copyright"/>
              <w:framePr w:hSpace="0" w:wrap="auto" w:vAnchor="margin" w:yAlign="inline"/>
              <w:suppressOverlap w:val="0"/>
              <w:rPr>
                <w:noProof/>
                <w:lang w:val="id-ID"/>
              </w:rPr>
            </w:pPr>
            <w:r w:rsidRPr="00430EF7">
              <w:rPr>
                <w:noProof/>
                <w:lang w:val="id-ID"/>
              </w:rPr>
              <w:t>All rights reserved.</w:t>
            </w:r>
          </w:p>
        </w:tc>
      </w:tr>
    </w:tbl>
    <w:p w:rsidR="00894545" w:rsidRPr="00430EF7" w:rsidRDefault="00894545" w:rsidP="00894545">
      <w:pPr>
        <w:spacing w:after="0"/>
        <w:rPr>
          <w:noProof/>
        </w:rPr>
      </w:pPr>
    </w:p>
    <w:p w:rsidR="00894545" w:rsidRPr="00430EF7" w:rsidRDefault="00894545" w:rsidP="00894545">
      <w:pPr>
        <w:spacing w:after="0"/>
        <w:rPr>
          <w:noProof/>
        </w:rPr>
      </w:pPr>
    </w:p>
    <w:p w:rsidR="00894545" w:rsidRPr="00430EF7" w:rsidRDefault="00894545" w:rsidP="00894545">
      <w:pPr>
        <w:spacing w:after="0"/>
        <w:rPr>
          <w:noProof/>
        </w:rPr>
      </w:pPr>
    </w:p>
    <w:p w:rsidR="00894545" w:rsidRPr="00430EF7" w:rsidRDefault="00894545" w:rsidP="00894545">
      <w:pPr>
        <w:spacing w:after="0"/>
        <w:rPr>
          <w:noProof/>
        </w:rPr>
      </w:pPr>
    </w:p>
    <w:p w:rsidR="00894545" w:rsidRPr="001F363B" w:rsidRDefault="001F363B" w:rsidP="00894545">
      <w:pPr>
        <w:pStyle w:val="BodytextMaJER"/>
        <w:spacing w:line="360" w:lineRule="auto"/>
        <w:rPr>
          <w:b/>
          <w:noProof/>
          <w:lang w:val="en-US"/>
        </w:rPr>
      </w:pPr>
      <w:r>
        <w:rPr>
          <w:b/>
          <w:noProof/>
          <w:lang w:val="en-US"/>
        </w:rPr>
        <w:lastRenderedPageBreak/>
        <w:t>INTRODUCTION</w:t>
      </w:r>
    </w:p>
    <w:p w:rsidR="00894545" w:rsidRPr="00430EF7" w:rsidRDefault="001F363B" w:rsidP="00894545">
      <w:pPr>
        <w:pStyle w:val="ListParagraph"/>
        <w:tabs>
          <w:tab w:val="left" w:leader="dot" w:pos="3038"/>
          <w:tab w:val="left" w:pos="3969"/>
        </w:tabs>
        <w:spacing w:line="240" w:lineRule="auto"/>
        <w:ind w:left="0" w:firstLine="709"/>
        <w:jc w:val="both"/>
        <w:rPr>
          <w:rFonts w:ascii="Times New Roman" w:hAnsi="Times New Roman"/>
          <w:noProof/>
          <w:sz w:val="24"/>
          <w:lang w:val="id-ID"/>
        </w:rPr>
      </w:pPr>
      <w:r w:rsidRPr="001F363B">
        <w:rPr>
          <w:rFonts w:ascii="Times New Roman" w:hAnsi="Times New Roman"/>
          <w:noProof/>
          <w:sz w:val="24"/>
          <w:lang w:val="id-ID"/>
        </w:rPr>
        <w:t>Understanding poetry is part of poetry appreciation activities. Appreciation of poetry can be interpreted as an effort made to recognize poetry and to be sensitive to all aspects of poetry so that they are able to consciously enjoy and assess poetry carefully. This poetry appreciation activity needs to be carried out in the sense that the reader does not only know about poetry theories but also can appreciate the poetry that has been read. The appreciation activity consists of five stages, namely perception, knowledge, understanding, analysis, and assessment</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{"citationItems":[{"id":"ITEM-1","itemData":{"author":[{"dropping-particle":"","family":"Waluyo","given":"Herman J","non-dropping-particle":"","parse-names":false,"suffix":""}],"id":"ITEM-1","issued":{"date-parts":[["2005"]]},"publisher-place":"Jakarta: Gramedia","title":"Apresiasi Puisi","type":"book"},"uris":["http://www.mendeley.com/documents/?uuid=fec6c9a5-6b92-482e-8f69-bb523df2c153"]}],"mendeley":{"formattedCitation":"(Waluyo, 2005)","plainTextFormattedCitation":"(Waluyo, 2005)","previouslyFormattedCitation":"(Waluyo, 2005)"},"properties":{"noteIndex":0},"schema":"https://github.com/citation-style-language/schema/raw/master/csl-citation.json"}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(Waluyo, 2005)</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1F363B">
        <w:rPr>
          <w:rFonts w:ascii="Times New Roman" w:hAnsi="Times New Roman"/>
          <w:noProof/>
          <w:sz w:val="24"/>
          <w:lang w:val="id-ID"/>
        </w:rPr>
        <w:t>The activity of understanding poetry can be obtained by students by following the Poetry Appreciation course. This course is registered in the Indonesian Language and Literature Study Program STKIP PGRI West Sumatra with the code BIND8022. This course introduces theories related to poetry. After students know poetry theories, students can give an assessment of the poems read through poetry appreciation activities.</w:t>
      </w:r>
    </w:p>
    <w:p w:rsidR="00894545" w:rsidRPr="00430EF7" w:rsidRDefault="001F363B" w:rsidP="00894545">
      <w:pPr>
        <w:pStyle w:val="ListParagraph"/>
        <w:tabs>
          <w:tab w:val="left" w:leader="dot" w:pos="3038"/>
          <w:tab w:val="left" w:pos="3969"/>
        </w:tabs>
        <w:spacing w:line="240" w:lineRule="auto"/>
        <w:ind w:left="0" w:firstLine="709"/>
        <w:jc w:val="both"/>
        <w:rPr>
          <w:rFonts w:ascii="Times New Roman" w:hAnsi="Times New Roman"/>
          <w:noProof/>
          <w:sz w:val="24"/>
          <w:szCs w:val="24"/>
          <w:lang w:val="id-ID"/>
        </w:rPr>
      </w:pPr>
      <w:r w:rsidRPr="001F363B">
        <w:rPr>
          <w:rFonts w:ascii="Times New Roman" w:hAnsi="Times New Roman"/>
          <w:noProof/>
          <w:sz w:val="24"/>
          <w:lang w:val="id-ID"/>
        </w:rPr>
        <w:t>One of the levels of poetry appreciation that students need to know is understanding poetry. Comprehension is the process between the listener and reader to interpret a series of words or writing which is then called the compilation process. Understanding poetry requires knowledge of poetry. The existence of a poem can be seen from two things, namely the inner structure and the physical structure</w:t>
      </w:r>
      <w:r w:rsidRPr="001F363B">
        <w:rPr>
          <w:rFonts w:ascii="Times New Roman" w:hAnsi="Times New Roman"/>
          <w:noProof/>
          <w:sz w:val="24"/>
          <w:szCs w:val="24"/>
          <w:lang w:val="id-ID"/>
        </w:rPr>
        <w:t xml:space="preserve"> </w:t>
      </w:r>
      <w:r w:rsidR="00894545" w:rsidRPr="00430EF7">
        <w:rPr>
          <w:rFonts w:ascii="Times New Roman" w:hAnsi="Times New Roman"/>
          <w:noProof/>
          <w:sz w:val="24"/>
          <w:szCs w:val="24"/>
          <w:lang w:val="id-ID"/>
        </w:rPr>
        <w:fldChar w:fldCharType="begin" w:fldLock="1"/>
      </w:r>
      <w:r w:rsidR="00894545" w:rsidRPr="00430EF7">
        <w:rPr>
          <w:rFonts w:ascii="Times New Roman" w:hAnsi="Times New Roman"/>
          <w:noProof/>
          <w:sz w:val="24"/>
          <w:szCs w:val="24"/>
          <w:lang w:val="id-ID"/>
        </w:rPr>
        <w:instrText>ADDIN CSL_CITATION {"citationItems":[{"id":"ITEM-1","itemData":{"author":[{"dropping-particle":"","family":"Gani","given":"Erizal","non-dropping-particle":"","parse-names":false,"suffix":""}],"id":"ITEM-1","issued":{"date-parts":[["2014"]]},"publisher-place":"Bandung: Pustaka Reka Cipta","title":"Kiat Pembacaan Puisi: Teori dan Terapan","type":"book"},"uris":["http://www.mendeley.com/documents/?uuid=13af0526-89c2-49dd-8bcf-951a23eaed92"]}],"mendeley":{"formattedCitation":"(Gani, 2014)","plainTextFormattedCitation":"(Gani, 2014)","previouslyFormattedCitation":"(Gani, 2014)"},"properties":{"noteIndex":0},"schema":"https://github.com/citation-style-language/schema/raw/master/csl-citation.json"}</w:instrText>
      </w:r>
      <w:r w:rsidR="00894545" w:rsidRPr="00430EF7">
        <w:rPr>
          <w:rFonts w:ascii="Times New Roman" w:hAnsi="Times New Roman"/>
          <w:noProof/>
          <w:sz w:val="24"/>
          <w:szCs w:val="24"/>
          <w:lang w:val="id-ID"/>
        </w:rPr>
        <w:fldChar w:fldCharType="separate"/>
      </w:r>
      <w:r w:rsidR="00894545" w:rsidRPr="00430EF7">
        <w:rPr>
          <w:rFonts w:ascii="Times New Roman" w:hAnsi="Times New Roman"/>
          <w:noProof/>
          <w:sz w:val="24"/>
          <w:szCs w:val="24"/>
          <w:lang w:val="id-ID"/>
        </w:rPr>
        <w:t>(Gani, 2014)</w:t>
      </w:r>
      <w:r w:rsidR="00894545" w:rsidRPr="00430EF7">
        <w:rPr>
          <w:rFonts w:ascii="Times New Roman" w:hAnsi="Times New Roman"/>
          <w:noProof/>
          <w:sz w:val="24"/>
          <w:szCs w:val="24"/>
          <w:lang w:val="id-ID"/>
        </w:rPr>
        <w:fldChar w:fldCharType="end"/>
      </w:r>
      <w:r w:rsidR="00894545" w:rsidRPr="00430EF7">
        <w:rPr>
          <w:rFonts w:ascii="Times New Roman" w:hAnsi="Times New Roman"/>
          <w:noProof/>
          <w:sz w:val="24"/>
          <w:szCs w:val="24"/>
          <w:lang w:val="id-ID"/>
        </w:rPr>
        <w:t xml:space="preserve">. </w:t>
      </w:r>
      <w:r w:rsidRPr="001F363B">
        <w:rPr>
          <w:rFonts w:ascii="Times New Roman" w:hAnsi="Times New Roman"/>
          <w:noProof/>
          <w:sz w:val="24"/>
          <w:szCs w:val="24"/>
          <w:lang w:val="id-ID"/>
        </w:rPr>
        <w:t xml:space="preserve">The inner structure includes theme, taste, tone, and message. The physical structure includes appearance, images, concrete words, figurative language, and verification. To be able to understand the structure of poetry, reading comprehension skills are required. Good reading interest greatly affects the ability to understand poetry. Attention to reading affects the ability to understand the physical structure of the poetry, while feelings and responses to reading affect the ability to understand the inner structure of the poetry </w:t>
      </w:r>
      <w:r w:rsidR="00894545" w:rsidRPr="00430EF7">
        <w:rPr>
          <w:rFonts w:ascii="Times New Roman" w:hAnsi="Times New Roman"/>
          <w:noProof/>
          <w:sz w:val="24"/>
          <w:szCs w:val="24"/>
          <w:lang w:val="id-ID"/>
        </w:rPr>
        <w:fldChar w:fldCharType="begin" w:fldLock="1"/>
      </w:r>
      <w:r w:rsidR="00894545" w:rsidRPr="00430EF7">
        <w:rPr>
          <w:rFonts w:ascii="Times New Roman" w:hAnsi="Times New Roman"/>
          <w:noProof/>
          <w:sz w:val="24"/>
          <w:szCs w:val="24"/>
          <w:lang w:val="id-ID"/>
        </w:rPr>
        <w:instrText>ADDIN CSL_CITATION {"citationItems":[{"id":"ITEM-1","itemData":{"DOI":"10.26499/kelasa.v15i2.12","author":[{"dropping-particle":"","family":"Ramadhanti","given":"Dina","non-dropping-particle":"","parse-names":false,"suffix":""},{"dropping-particle":"","family":"Yanda","given":"Diyan Permata","non-dropping-particle":"","parse-names":false,"suffix":""}],"container-title":"Kelasa","id":"ITEM-1","issue":"2","issued":{"date-parts":[["2020"]]},"page":"194-208","title":"Faktor Minat Baca dalam Pembelajaran Puisi","type":"article-journal","volume":"15"},"uris":["http://www.mendeley.com/documents/?uuid=fedeecc7-5754-46b7-a1be-5e9fc53aacdd"]}],"mendeley":{"formattedCitation":"(Ramadhanti &amp; Yanda, 2020)","plainTextFormattedCitation":"(Ramadhanti &amp; Yanda, 2020)","previouslyFormattedCitation":"(Ramadhanti &amp; Yanda, 2020)"},"properties":{"noteIndex":0},"schema":"https://github.com/citation-style-language/schema/raw/master/csl-citation.json"}</w:instrText>
      </w:r>
      <w:r w:rsidR="00894545" w:rsidRPr="00430EF7">
        <w:rPr>
          <w:rFonts w:ascii="Times New Roman" w:hAnsi="Times New Roman"/>
          <w:noProof/>
          <w:sz w:val="24"/>
          <w:szCs w:val="24"/>
          <w:lang w:val="id-ID"/>
        </w:rPr>
        <w:fldChar w:fldCharType="separate"/>
      </w:r>
      <w:r w:rsidR="00894545" w:rsidRPr="00430EF7">
        <w:rPr>
          <w:rFonts w:ascii="Times New Roman" w:hAnsi="Times New Roman"/>
          <w:noProof/>
          <w:sz w:val="24"/>
          <w:szCs w:val="24"/>
          <w:lang w:val="id-ID"/>
        </w:rPr>
        <w:t>(Ramadhanti &amp; Yanda, 2020)</w:t>
      </w:r>
      <w:r w:rsidR="00894545" w:rsidRPr="00430EF7">
        <w:rPr>
          <w:rFonts w:ascii="Times New Roman" w:hAnsi="Times New Roman"/>
          <w:noProof/>
          <w:sz w:val="24"/>
          <w:szCs w:val="24"/>
          <w:lang w:val="id-ID"/>
        </w:rPr>
        <w:fldChar w:fldCharType="end"/>
      </w:r>
      <w:r w:rsidR="00894545" w:rsidRPr="00430EF7">
        <w:rPr>
          <w:rFonts w:ascii="Times New Roman" w:hAnsi="Times New Roman"/>
          <w:noProof/>
          <w:sz w:val="24"/>
          <w:szCs w:val="24"/>
          <w:lang w:val="id-ID"/>
        </w:rPr>
        <w:t>.</w:t>
      </w:r>
    </w:p>
    <w:p w:rsidR="001F363B" w:rsidRDefault="001F363B" w:rsidP="00894545">
      <w:pPr>
        <w:pStyle w:val="ListParagraph"/>
        <w:tabs>
          <w:tab w:val="left" w:leader="dot" w:pos="3038"/>
          <w:tab w:val="left" w:pos="3969"/>
        </w:tabs>
        <w:spacing w:line="240" w:lineRule="auto"/>
        <w:ind w:left="0" w:firstLine="709"/>
        <w:jc w:val="both"/>
        <w:rPr>
          <w:rFonts w:ascii="Times New Roman" w:hAnsi="Times New Roman"/>
          <w:noProof/>
          <w:sz w:val="24"/>
          <w:szCs w:val="24"/>
          <w:lang w:val="en-US"/>
        </w:rPr>
      </w:pPr>
      <w:r w:rsidRPr="001F363B">
        <w:rPr>
          <w:rFonts w:ascii="Times New Roman" w:hAnsi="Times New Roman"/>
          <w:noProof/>
          <w:sz w:val="24"/>
          <w:szCs w:val="24"/>
          <w:lang w:val="id-ID"/>
        </w:rPr>
        <w:t>However, poetry learning has not been implemented with the aim of increasing students' reading interest and has not aimed at enabling students to understand the structure of poetry as part of poetry appreciation activities. Preliminary studies conducted through observation activities show that poetry learning is carried out by the stages of students writing a reading report on the lecture material of Poetry Appreciation and then carrying out discussions according to the reading reports written by students. To test students' understanding, they are given a test of understanding the results of learning to understand poetry. The average student learning outcomes in understanding poetry ranged from 30-50. Poetry learning has not helped improve the process and student learning outcomes. The reading reports that are written tend to be the same and are only theoretical copies of the reference books used by students. When group discussions were held, not all students actively participated in expressing their opinions.</w:t>
      </w:r>
    </w:p>
    <w:p w:rsidR="00894545" w:rsidRPr="00430EF7" w:rsidRDefault="00061A48" w:rsidP="00894545">
      <w:pPr>
        <w:pStyle w:val="ListParagraph"/>
        <w:tabs>
          <w:tab w:val="left" w:leader="dot" w:pos="3038"/>
          <w:tab w:val="left" w:pos="3969"/>
        </w:tabs>
        <w:spacing w:line="240" w:lineRule="auto"/>
        <w:ind w:left="0" w:firstLine="709"/>
        <w:jc w:val="both"/>
        <w:rPr>
          <w:rFonts w:ascii="Times New Roman" w:hAnsi="Times New Roman" w:cs="SimSun"/>
          <w:noProof/>
          <w:sz w:val="24"/>
          <w:lang w:val="id-ID"/>
        </w:rPr>
      </w:pPr>
      <w:r w:rsidRPr="00061A48">
        <w:rPr>
          <w:rFonts w:ascii="Times New Roman" w:hAnsi="Times New Roman"/>
          <w:noProof/>
          <w:sz w:val="24"/>
          <w:szCs w:val="24"/>
          <w:lang w:val="id-ID"/>
        </w:rPr>
        <w:t xml:space="preserve">This shows that </w:t>
      </w:r>
      <w:r w:rsidR="006D75CC">
        <w:rPr>
          <w:rFonts w:ascii="Times New Roman" w:hAnsi="Times New Roman"/>
          <w:noProof/>
          <w:sz w:val="24"/>
          <w:szCs w:val="24"/>
          <w:lang w:val="en-US"/>
        </w:rPr>
        <w:t>teacher</w:t>
      </w:r>
      <w:r w:rsidRPr="00061A48">
        <w:rPr>
          <w:rFonts w:ascii="Times New Roman" w:hAnsi="Times New Roman"/>
          <w:noProof/>
          <w:sz w:val="24"/>
          <w:szCs w:val="24"/>
          <w:lang w:val="id-ID"/>
        </w:rPr>
        <w:t xml:space="preserve">s need to choose a learning model that is able to motivate students to be actively involved in learning. Students carry out group discussions only to follow lecture procedures carried out by </w:t>
      </w:r>
      <w:r w:rsidR="006D75CC">
        <w:rPr>
          <w:rFonts w:ascii="Times New Roman" w:hAnsi="Times New Roman"/>
          <w:noProof/>
          <w:sz w:val="24"/>
          <w:szCs w:val="24"/>
          <w:lang w:val="en-US"/>
        </w:rPr>
        <w:t>teacher</w:t>
      </w:r>
      <w:r w:rsidRPr="00061A48">
        <w:rPr>
          <w:rFonts w:ascii="Times New Roman" w:hAnsi="Times New Roman"/>
          <w:noProof/>
          <w:sz w:val="24"/>
          <w:szCs w:val="24"/>
          <w:lang w:val="id-ID"/>
        </w:rPr>
        <w:t xml:space="preserve">s, not to increase their understanding of learning material. Therefore, </w:t>
      </w:r>
      <w:r w:rsidR="006D75CC">
        <w:rPr>
          <w:rFonts w:ascii="Times New Roman" w:hAnsi="Times New Roman"/>
          <w:noProof/>
          <w:sz w:val="24"/>
          <w:szCs w:val="24"/>
          <w:lang w:val="en-US"/>
        </w:rPr>
        <w:t>teacher</w:t>
      </w:r>
      <w:r w:rsidRPr="00061A48">
        <w:rPr>
          <w:rFonts w:ascii="Times New Roman" w:hAnsi="Times New Roman"/>
          <w:noProof/>
          <w:sz w:val="24"/>
          <w:szCs w:val="24"/>
          <w:lang w:val="id-ID"/>
        </w:rPr>
        <w:t xml:space="preserve">s need to use a cooperative learning model that not only presents student-centered learning but is also assumed to be able to increase student collaboration to understand learning in cooperative groups. The cooperative model used in this study is the type of Student Team Achievement Division (STAD) and Cooperative Integrated Reading and Composition (CIRC). The STAD model is implemented by the </w:t>
      </w:r>
      <w:r w:rsidR="006D75CC">
        <w:rPr>
          <w:rFonts w:ascii="Times New Roman" w:hAnsi="Times New Roman"/>
          <w:noProof/>
          <w:sz w:val="24"/>
          <w:szCs w:val="24"/>
          <w:lang w:val="en-US"/>
        </w:rPr>
        <w:t>teacher</w:t>
      </w:r>
      <w:r w:rsidRPr="00061A48">
        <w:rPr>
          <w:rFonts w:ascii="Times New Roman" w:hAnsi="Times New Roman"/>
          <w:noProof/>
          <w:sz w:val="24"/>
          <w:szCs w:val="24"/>
          <w:lang w:val="id-ID"/>
        </w:rPr>
        <w:t xml:space="preserve"> dividing students into heterogeneous groups to discuss learning material, competing with other groups to collect scores, and taking tests individually to test understanding of the activities carried out in groups. The CIRC </w:t>
      </w:r>
      <w:r w:rsidRPr="00061A48">
        <w:rPr>
          <w:rFonts w:ascii="Times New Roman" w:hAnsi="Times New Roman"/>
          <w:noProof/>
          <w:sz w:val="24"/>
          <w:szCs w:val="24"/>
          <w:lang w:val="id-ID"/>
        </w:rPr>
        <w:lastRenderedPageBreak/>
        <w:t>model is implemented by integrating reading and writing in study groups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{"citationItems":[{"id":"ITEM-1","itemData":{"author":[{"dropping-particle":"","family":"Slavin","given":"Robert E.","non-dropping-particle":"","parse-names":false,"suffix":""}],"edition":"2","id":"ITEM-1","issued":{"date-parts":[["1994"]]},"publisher-place":"Boston: Allyn and Bacon","title":"Cooperative learning: Theory, Research and Practice","type":"book"},"uris":["http://www.mendeley.com/documents/?uuid=26b9826b-e292-4929-a92c-75ae0262d01a"]}],"mendeley":{"formattedCitation":"(Slavin, 1994)","plainTextFormattedCitation":"(Slavin, 1994)","previouslyFormattedCitation":"(Slavin, 1994)"},"properties":{"noteIndex":0},"schema":"https://github.com/citation-style-language/schema/raw/master/csl-citation.json"}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(Slavin, 1994)</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Learning carried out with the STAD and CIRC models is different from the discussion methods that have been used so far. Both of these learning models aim to make all group members actively involved in learning. With the STAD and CIRC models, it will be seen which group is actually doing the task and guiding fellow group members in learning activities.</w:t>
      </w:r>
    </w:p>
    <w:p w:rsidR="00894545" w:rsidRPr="00430EF7" w:rsidRDefault="00061A48" w:rsidP="00894545">
      <w:pPr>
        <w:pStyle w:val="ListParagraph"/>
        <w:tabs>
          <w:tab w:val="left" w:leader="dot" w:pos="3038"/>
          <w:tab w:val="left" w:pos="3969"/>
        </w:tabs>
        <w:spacing w:line="240" w:lineRule="auto"/>
        <w:ind w:left="0" w:firstLine="709"/>
        <w:jc w:val="both"/>
        <w:rPr>
          <w:rFonts w:ascii="Times New Roman" w:hAnsi="Times New Roman"/>
          <w:noProof/>
          <w:sz w:val="24"/>
          <w:lang w:val="id-ID"/>
        </w:rPr>
      </w:pPr>
      <w:r w:rsidRPr="00061A48">
        <w:rPr>
          <w:rFonts w:ascii="Times New Roman" w:hAnsi="Times New Roman"/>
          <w:noProof/>
          <w:sz w:val="24"/>
          <w:lang w:val="id-ID"/>
        </w:rPr>
        <w:t>Previous research has shown that the STAD model is often used in learning for a variety of mathematical subjects and problems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Sepriyanti","given":"Nana","non-dropping-particle":"","parse-names":false,"suffix":""},{"dropping-particle":"","family":"Kustati","given":"Martin","non-dropping-particle":"","parse-names":false,"suffix":""},{"dropping-particle":"","family":"Sabri","given":"Ahmad","non-dropping-particle":"","parse-names":false,"suffix":""}],"container-title":"International Journal of Scientific &amp; Technology Reasearch","id":"ITEM-1","issue":"04","issued":{"date-parts":[["2019"]]},"page":"80-85","title":"Utilization Of Students Team Achievement Division And Team Game Tournament : Effective Ways To Increase Students ’ Mathematics Ability","type":"article-journal","volume":"8"},"uris":["http://www.mendeley.com/documents/?uuid=02194dd1-dff5-40d5-9ba8-94fc99317df4"]}],"mendeley":{"formattedCitation":"(Sepriyanti, Kustati, &amp; Sabri, 2019)","plainTextFormattedCitation":"(Sepriyanti, Kustati, &amp; Sabri, 2019)","previouslyFormattedCitation":"(Sepriyanti, Kustati, &amp; Sabri, 2019)"},"properties":{"noteIndex":0},"schema":"https://github.com/citation-style-language/schema/raw/master/csl-citation.json"}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(Sepriyanti, Kustati, &amp; Sabri,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and language, for example, to develop writing skills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{"citationItems":[{"id":"ITEM-1","itemData":{"author":[{"dropping-particle":"","family":"Thresia","given":"Fenny","non-dropping-particle":"","parse-names":false,"suffix":""}],"id":"ITEM-1","issue":"2","issued":{"date-parts":[["2012"]]},"page":"123-132","title":"The Contribution of Students Team Achievement Division (STAD) and Motivation Towards Writing (The Students of Enginering Faculty Muhammadiyah University of Metro)","type":"article-journal","volume":"1"},"uris":["http://www.mendeley.com/documents/?uuid=9d033bb0-6a38-4d24-a4be-a8a34fcf7952"]}],"mendeley":{"formattedCitation":"(Thresia, 2012)","plainTextFormattedCitation":"(Thresia, 2012)","previouslyFormattedCitation":"(Thresia, 2012)"},"properties":{"noteIndex":0},"schema":"https://github.com/citation-style-language/schema/raw/master/csl-citation.json"}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(Thresia, 2012)</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reading comprehension</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{"citationItems":[{"id":"ITEM-1","itemData":{"DOI":"10.24176/re.v7i2.1220","ISSN":"2087-9385","abstract":"This study aims at investigating the effects of Student Team Achievement Division Cooperative Learning (STAD CL) at eleventh grade students of Senior High School 1 Kudus and finding solutions and strategies to make teachers have a formed opinion of the use of STAD in delivering the subject matter while teaching to make more it effective.This study was experimental research. The population of this study was the eleventh year students of Senior High School 1 Kudus in the Academic Year 2015/2016. There were five classes from XI-A to XI -E. Each class had 35 students, so the total population were 175 students. Meanwhile the samples of this study were eighty students from four classes which were selected based on the historical factors and pre-existing ability. 80 students were choosen to be a sample, 40 as experimental group and 40 as control group. Both groups were given the pre-test to measure students' reading skill and after several times of treatments, both groups were given the post-test.The results of the study showed that there was significant difference between the means of experimental and control groups on the reading achievement. Hence, STAD CL was more effective than conventional in the way that mostly students developed their reading performance in the classroom. Further study may also be conducted to determine whether teachers’ use of STAD CL appears to reduce student anxiety and stress in the classroom to improve students’ reading or even other skills, retention, and student-teacher relationships.AbstractPenelitian ini bertujuan","author":[{"dropping-particle":"","family":"Syafiq","given":"Ahmad Nur","non-dropping-particle":"","parse-names":false,"suffix":""},{"dropping-particle":"","family":"Rahmawati","given":"Amalia","non-dropping-particle":"","parse-names":false,"suffix":""}],"container-title":"Refleksi Edukatika : Jurnal Ilmiah Kependidikan","id":"ITEM-1","issue":"2","issued":{"date-parts":[["2017"]]},"page":"118-122","title":"The Effect of Student Team Achievement Division Cooperative Learning (STAD CL) in Teaching the Reading Comprehension","type":"article-journal","volume":"7"},"uris":["http://www.mendeley.com/documents/?uuid=700b5eae-fddd-4367-8b9f-6be6e2470678"]}],"mendeley":{"formattedCitation":"(Syafiq &amp; Rahmawati, 2017)","manualFormatting":"(Syafiq &amp; Rahmawati, 2017","plainTextFormattedCitation":"(Syafiq &amp; Rahmawati, 2017)","previouslyFormattedCitation":"(Syafiq &amp; Rahmawati, 2017)"},"properties":{"noteIndex":0},"schema":"https://github.com/citation-style-language/schema/raw/master/csl-citation.json"}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(Syafiq &amp; Rahmawati, 2017</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{"citationItems":[{"id":"ITEM-1","itemData":{"DOI":"10.35457/jares.v3i2.504","ISSN":"2502-826X","abstract":"Strategy plays the important role to make students understand reading materials. Teachers should be able to choose right teaching strategy in order to make the students interested more in learning beacause they enjoy learning and reading the given material. This study was conducted to find out whether the use of STAD in teaching of reading comprehension is effective to improve the student reading comprehension achievement. The design of the study was experimental reasearch. The study was conducted in Islamic University of Balitar. the researcher takes one class of the first semester students of english language education study program in the islamic university of balitar blitar in the academic year 2016/2017. and in analyzing the data, the researcher used the statistical procedures namely dependent T-test. The finding of this study is the score that students got after treatment increased. It means that the hypothesis alternative is accepted and the null hypothesis is rejected. By those facts, Ho hypothesis is rejected and H1 hypothesis is accepted. Thus, it can be concluded that using STAD method in teaching reading comprehension proved to be effective in increasing teh students ’ reading comprehension achievement.","author":[{"dropping-particle":"","family":"Primasari","given":"Yusniasri","non-dropping-particle":"","parse-names":false,"suffix":""}],"container-title":"JARES (Journal of Academic Research and Sciences)","id":"ITEM-1","issue":"2","issued":{"date-parts":[["2018"]]},"page":"41-48","title":"The Effectiveness of Student Teams Achievement Division (STAD) in Teaching Reading Comprehension of the First Semester Students of English Language Education Study Program","type":"article-journal","volume":"3"},"uris":["http://www.mendeley.com/documents/?uuid=d6984539-04aa-40f0-a142-e5d00547a42f"]}],"mendeley":{"formattedCitation":"(Primasari, 2018)","manualFormatting":"Primasari, 2018","plainTextFormattedCitation":"(Primasari, 2018)","previouslyFormattedCitation":"(Primasari, 2018)"},"properties":{"noteIndex":0},"schema":"https://github.com/citation-style-language/schema/raw/master/csl-citation.json"}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Primasari, 2018</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{"citationItems":[{"id":"ITEM-1","itemData":{"author":[{"dropping-particle":"","family":"Ugwu","given":"Eucharia Okwudilichukwu","non-dropping-particle":"","parse-names":false,"suffix":""}],"container-title":"African Journal of Teacher Education","id":"ITEM-1","issue":"1","issued":{"date-parts":[["2019"]]},"page":"218-237","title":"Effect of Student Teams Achievement Division and Think-Pair-Share on Students’ Achievement in Reading Comprehension","type":"article-journal","volume":"8"},"uris":["http://www.mendeley.com/documents/?uuid=4bbef71e-1efe-4391-b449-c5bd2ef10f09"]}],"mendeley":{"formattedCitation":"(Ugwu, 2019)","manualFormatting":"Ugwu, 2019","plainTextFormattedCitation":"(Ugwu, 2019)","previouslyFormattedCitation":"(Ugwu, 2019)"},"properties":{"noteIndex":0},"schema":"https://github.com/citation-style-language/schema/raw/master/csl-citation.json"}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Ugwu,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{"citationItems":[{"id":"ITEM-1","itemData":{"author":[{"dropping-particle":"","family":"Nurhuda","given":"","non-dropping-particle":"","parse-names":false,"suffix":""}],"container-title":"Journal of English Education Literature","id":"ITEM-1","issue":"2","issued":{"date-parts":[["2020"]]},"page":"68-75","title":"Improving Students’ Engagement in Reading Class By Using Student Teams-Achievement Division (STAD)","type":"article-journal","volume":"1"},"uris":["http://www.mendeley.com/documents/?uuid=7329076d-21a2-4ca1-b789-e6b1131563dc"]}],"mendeley":{"formattedCitation":"(Nurhuda, 2020)","manualFormatting":"Nurhuda, 2020)","plainTextFormattedCitation":"(Nurhuda, 2020)","previouslyFormattedCitation":"(Nurhuda, 2020)"},"properties":{"noteIndex":0},"schema":"https://github.com/citation-style-language/schema/raw/master/csl-citation.json"}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Nurhuda, 2020)</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and motivate students to develop speaking skills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{"citationItems":[{"id":"ITEM-1","itemData":{"author":[{"dropping-particle":"","family":"Firnanda","given":"Rahmat","non-dropping-particle":"","parse-names":false,"suffix":""},{"dropping-particle":"","family":"Gani","given":"Sofyan A","non-dropping-particle":"","parse-names":false,"suffix":""},{"dropping-particle":"","family":"Samad","given":"Iskandar Abdul","non-dropping-particle":"","parse-names":false,"suffix":""}],"container-title":"English Education Journal (EEJ)","id":"ITEM-1","issue":"1","issued":{"date-parts":[["2019"]]},"page":"46-66","title":"The Influence of Student Team-Achievement Divisions (STAD) in Developing Students' Speaking Skill","type":"article-journal","volume":"10"},"uris":["http://www.mendeley.com/documents/?uuid=9b9126af-480d-48be-9317-1b070e0473e0"]},{"id":"ITEM-2","itemData":{"ISBN":"9789462524446","author":[{"dropping-particle":"","family":"Afrinda","given":"Putri Dian","non-dropping-particle":"","parse-names":false,"suffix":""},{"dropping-particle":"","family":"Yanda","given":"Diyan Permata","non-dropping-particle":"","parse-names":false,"suffix":""}],"container-title":"Prasasti: Journal of Linguistics","id":"ITEM-2","issue":"1","issued":{"date-parts":[["2019"]]},"page":"55-68","title":"Stad Strategies of Defending Self Image in the Public Speaking Delivered by Mr Tourism Sumatera Barat","type":"article-journal","volume":"4"},"uris":["http://www.mendeley.com/documents/?uuid=d7a653a7-f438-4316-a625-7665bcec411a"]}],"mendeley":{"formattedCitation":"(Afrinda &amp; Yanda, 2019; Firnanda, Gani, &amp; Samad, 2019)","plainTextFormattedCitation":"(Afrinda &amp; Yanda, 2019; Firnanda, Gani, &amp; Samad, 2019)","previouslyFormattedCitation":"(Afrinda &amp; Yanda, 2019; Firnanda, Gani, &amp; Samad, 2019)"},"properties":{"noteIndex":0},"schema":"https://github.com/citation-style-language/schema/raw/master/csl-citation.json"}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(Afrinda &amp; Yanda, 2019; Firnanda, Gani, &amp; Samad,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STAD can improve student achievement, attitudes, and teamwork in heterogeneous groups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{"citationItems":[{"id":"ITEM-1","itemData":{"DOI":"10.13140/RG.2.2.24935.09121","author":[{"dropping-particle":"","family":"Garcha","given":"Pargat Singh","non-dropping-particle":"","parse-names":false,"suffix":""}],"container-title":"Indian Streams Research Journal","id":"ITEM-1","issue":"4","issued":{"date-parts":[["2019"]]},"page":"1-6","title":"Effectivenese of Student Team Achievement Division (STAD) on Achievement of Secondary School Students","type":"article-journal","volume":"6"},"uris":["http://www.mendeley.com/documents/?uuid=a762880d-456a-40a6-bcc2-2d77b32af0c5"]},{"id":"ITEM-2","itemData":{"DOI":"10.1088/1757-899X/336/1/012027","author":[{"dropping-particle":"","family":"Syahidi","given":"Aulia Akhrian","non-dropping-particle":"","parse-names":false,"suffix":""},{"dropping-particle":"","family":"Asyikin","given":"Arifin Noor","non-dropping-particle":"","parse-names":false,"suffix":""},{"dropping-particle":"","family":"Asy'ari","given":"","non-dropping-particle":"","parse-names":false,"suffix":""}],"container-title":"IOP Conference Series: Materials Science and Engineering","id":"ITEM-2","issue":"April","issued":{"date-parts":[["2018"]]},"title":"Applying Student Team Achievement Divisions ( STAD ) Model on Material of Basic Programme Branch Control Structure to Increase Activity and Student Result Related content Applying Student Team Achievement Divisions ( STAD ) Model on Material of Basic Prog","type":"paper-conference"},"uris":["http://www.mendeley.com/documents/?uuid=86ed2c50-c250-485b-b7a4-88a090e1ef61"]},{"id":"ITEM-3","itemData":{"DOI":"10.6007/IJARBSS/v8-i2/3966","author":[{"dropping-particle":"","family":"Jamaludin","given":"Mazlina","non-dropping-particle":"","parse-names":false,"suffix":""},{"dropping-particle":"","family":"Mokhtar","given":"Muhammad Fauzi","non-dropping-particle":"","parse-names":false,"suffix":""}],"container-title":"International Journal of Academic Research in Bussiness and Social Sciences","id":"ITEM-3","issue":"2","issued":{"date-parts":[["2018"]]},"page":"570-577","title":"Students Team Achievement Division","type":"article-journal","volume":"8"},"uris":["http://www.mendeley.com/documents/?uuid=cc73e77c-6a34-4bbc-8452-8557e38ed870"]},{"id":"ITEM-4","itemData":{"DOI":"10.17977/um013v3i12019p008","author":[{"dropping-particle":"","family":"Yuliani","given":"Nina","non-dropping-particle":"","parse-names":false,"suffix":""}],"container-title":"Classroom Action Research Journal","id":"ITEM-4","issue":"1","issued":{"date-parts":[["2019"]]},"page":"8-15","title":"The Role of Student Teams Achievement Divisions (STAD) in Improving Student's Learning Outcomes","type":"article-journal","volume":"3"},"uris":["http://www.mendeley.com/documents/?uuid=6eb3b49e-f091-45b4-b5fc-4f70b6742f09"]}],"mendeley":{"formattedCitation":"(Garcha, 2019; Jamaludin &amp; Mokhtar, 2018; Syahidi, Asyikin, &amp; Asy’ari, 2018; Yuliani, 2019)","manualFormatting":"(Jamaludin &amp; Mokhtar, 2018; Syahidi, Asyikin, &amp; Asy’ari, 2018; Garcha, 2019; Yuliani, 2019)","plainTextFormattedCitation":"(Garcha, 2019; Jamaludin &amp; Mokhtar, 2018; Syahidi, Asyikin, &amp; Asy’ari, 2018; Yuliani, 2019)","previouslyFormattedCitation":"(Garcha, 2019; Jamaludin &amp; Mokhtar, 2018; Syahidi, Asyikin, &amp; Asy’ari, 2018; Yuliani, 2019)"},"properties":{"noteIndex":0},"schema":"https://github.com/citation-style-language/schema/raw/master/csl-citation.json"}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(Jamaludin &amp; Mokhtar, 2018; Syahidi, Asyikin, &amp; Asy’ari, 2018; Garcha, 2019; Yuliani,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because STAD is seen as a learning model that can be applied in various learning problems and various subjects regardless of gender, ethnicity, race, religion, and social status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{"citationItems":[{"id":"ITEM-1","itemData":{"author":[{"dropping-particle":"","family":"Eneogu","given":"Njideka Dorathy","non-dropping-particle":"","parse-names":false,"suffix":""},{"dropping-particle":"","family":"Ejimonye","given":"Jovita Chinelo","non-dropping-particle":"","parse-names":false,"suffix":""},{"dropping-particle":"","family":"Ugwuanyi","given":"Benedict Ejiofor","non-dropping-particle":"","parse-names":false,"suffix":""},{"dropping-particle":"","family":"Nji","given":"Ifeyinwa A","non-dropping-particle":"","parse-names":false,"suffix":""}],"container-title":"Journal of Engineering and Applied Sciences","id":"ITEM-1","issue":"5","issued":{"date-parts":[["2019"]]},"page":"8912-8920","title":"Comparison of Student Team Achievement Division and Team Accelerated Instruction on Student's Achievement in Secondary School Quantitative Economics Contents","type":"article-journal","volume":"14"},"uris":["http://www.mendeley.com/documents/?uuid=f8b2c3f6-f62b-4335-afdd-6f4fec8b6858"]},{"id":"ITEM-2","itemData":{"author":[{"dropping-particle":"","family":"Yuliawati","given":"Dessy","non-dropping-particle":"","parse-names":false,"suffix":""},{"dropping-particle":"","family":"Wiyanarti","given":"Erlina","non-dropping-particle":"","parse-names":false,"suffix":""},{"dropping-particle":"","family":"Kurniawati","given":"Yeni","non-dropping-particle":"","parse-names":false,"suffix":""}],"id":"ITEM-2","issued":{"date-parts":[["0"]]},"page":"25-31","title":"Implementation of Cooperative Learning Model Student Teams-Achievement Division (STAD) Type to Improve Student Cooperation in Social Science Learning","type":"article-journal"},"uris":["http://www.mendeley.com/documents/?uuid=01ba868f-6701-40fa-bc4d-8fa7b5020dec"]}],"mendeley":{"formattedCitation":"(Eneogu, Ejimonye, Ugwuanyi, &amp; Nji, 2019; Yuliawati, Wiyanarti, &amp; Kurniawati, n.d.)","plainTextFormattedCitation":"(Eneogu, Ejimonye, Ugwuanyi, &amp; Nji, 2019; Yuliawati, Wiyanarti, &amp; Kurniawati, n.d.)","previouslyFormattedCitation":"(Eneogu, Ejimonye, Ugwuanyi, &amp; Nji, 2019; Yuliawati, Wiyanarti, &amp; Kurniawati, n.d.)"},"properties":{"noteIndex":0},"schema":"https://github.com/citation-style-language/schema/raw/master/csl-citation.json"}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(Eneogu, Ejimonye, Ugwuanyi, &amp; Nji, 2019; Yuliawati, Wiyanarti, &amp; Kurniawati, n.d.)</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w:t>
      </w:r>
    </w:p>
    <w:p w:rsidR="00831F66" w:rsidRDefault="00061A48" w:rsidP="00894545">
      <w:pPr>
        <w:pStyle w:val="ListParagraph"/>
        <w:tabs>
          <w:tab w:val="left" w:leader="dot" w:pos="3038"/>
          <w:tab w:val="left" w:pos="3969"/>
        </w:tabs>
        <w:spacing w:line="240" w:lineRule="auto"/>
        <w:ind w:left="0" w:firstLine="709"/>
        <w:jc w:val="both"/>
        <w:rPr>
          <w:rFonts w:ascii="Times New Roman" w:hAnsi="Times New Roman"/>
          <w:noProof/>
          <w:sz w:val="24"/>
          <w:lang w:val="en-US"/>
        </w:rPr>
      </w:pPr>
      <w:r w:rsidRPr="00061A48">
        <w:rPr>
          <w:rFonts w:ascii="Times New Roman" w:hAnsi="Times New Roman"/>
          <w:noProof/>
          <w:sz w:val="24"/>
          <w:lang w:val="id-ID"/>
        </w:rPr>
        <w:t>Likewise with the CIRC model which has been used frequently in various learning situations. The CIRC model is used to improve reading comprehension</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{"citationItems":[{"id":"ITEM-1","itemData":{"DOI":"10.5539/elt.v8n5p11","author":[{"dropping-particle":"","family":"Zainuddin","given":"","non-dropping-particle":"","parse-names":false,"suffix":""}],"container-title":"English Language Teaching","id":"ITEM-1","issue":"5","issued":{"date-parts":[["2015"]]},"page":"11-21","title":"The Effect of Cooperative Integrated Reading and Composition Technique on Students’ Reading Descriptive Text Achievement","type":"article-journal","volume":"8"},"uris":["http://www.mendeley.com/documents/?uuid=0a68f0f3-44c6-4a88-a7aa-378b023d49d0"]},{"id":"ITEM-2","itemData":{"author":[{"dropping-particle":"","family":"Martono","given":"Martono","non-dropping-particle":"","parse-names":false,"suffix":""},{"dropping-particle":"","family":"Purwanti","given":"Eva","non-dropping-particle":"","parse-names":false,"suffix":""},{"dropping-particle":"","family":"Syukri","given":"M","non-dropping-particle":"","parse-names":false,"suffix":""},{"dropping-particle":"","family":"Soeharto","given":"Soeharto","non-dropping-particle":"","parse-names":false,"suffix":""}],"container-title":"International Journal of Mechanical Engineering and Technology (IJMET)","id":"ITEM-2","issue":"03","issued":{"date-parts":[["2019"]]},"page":"828-836","title":"Improving The Reading Comprehension Ability by Applying the Cooperative Integrated Reading and Composition (CIRC)","type":"article-journal","volume":"10"},"uris":["http://www.mendeley.com/documents/?uuid=0fc92002-8810-42b9-9fa0-43ae8acfb34f"]}],"mendeley":{"formattedCitation":"(Martono, Purwanti, Syukri, &amp; Soeharto, 2019; Zainuddin, 2015)","manualFormatting":"(Zainuddin, 2015; Martono, Purwanti, Syukri, &amp; Soeharto, 2019)","plainTextFormattedCitation":"(Martono, Purwanti, Syukri, &amp; Soeharto, 2019; Zainuddin, 2015)","previouslyFormattedCitation":"(Martono, Purwanti, Syukri, &amp; Soeharto, 2019; Zainuddin, 2015)"},"properties":{"noteIndex":0},"schema":"https://github.com/citation-style-language/schema/raw/master/csl-citation.json"}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(Zainuddin, 2015; Martono, Purwanti, Syukri, &amp; Soeharto,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and writing various texts, such as narrative text</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DOI":"10.22202/JG.2017.V3i1.1230","author":[{"dropping-particle":"","family":"Ramadhanti","given":"Dina","non-dropping-particle":"","parse-names":false,"suffix":""}],"container-title":"Gramatika","id":"ITEM-1","issue":"1","issued":{"date-parts":[["2017"]]},"page":"27-42","title":"Penerapan Model Kooperatif Tipe CIRC dalam Pembelajaran Menulis Narasi Siswa Kelas VII SMP Negeri 2 Lembah Gumanti.","type":"article-journal","volume":"3"},"uris":["http://www.mendeley.com/documents/?uuid=bc5a9315-0892-4bde-b086-8685f5d72eb8"]}],"mendeley":{"formattedCitation":"(Ramadhanti, 2017)","plainTextFormattedCitation":"(Ramadhanti, 2017)","previouslyFormattedCitation":"(Ramadhanti, 2017)"},"properties":{"noteIndex":0},"schema":"https://github.com/citation-style-language/schema/raw/master/csl-citation.json"}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(Ramadhanti, 2017)</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Pr>
          <w:rFonts w:ascii="Times New Roman" w:hAnsi="Times New Roman"/>
          <w:noProof/>
          <w:sz w:val="24"/>
          <w:lang w:val="en-US"/>
        </w:rPr>
        <w:t>explanatory text</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Qamariah","given":"Hijjatul","non-dropping-particle":"","parse-names":false,"suffix":""},{"dropping-particle":"","family":"Rosdina","given":"","non-dropping-particle":"","parse-names":false,"suffix":""},{"dropping-particle":"","family":"Fitri","given":"Nostaria","non-dropping-particle":"","parse-names":false,"suffix":""}],"container-title":"Getsempena English Education Journal (GEEJ)","id":"ITEM-1","issue":"2","issued":{"date-parts":[["2019"]]},"page":"191-199","title":"Cooperative Integrated Reading and Composition Technique: A Mean of Improving Students' Ability in Writing Explanation Text","type":"article-journal","volume":"6"},"uris":["http://www.mendeley.com/documents/?uuid=d7ea6e86-5b29-4047-9fff-c6efa5b54354"]}],"mendeley":{"formattedCitation":"(Qamariah, Rosdina, &amp; Fitri, 2019)","plainTextFormattedCitation":"(Qamariah, Rosdina, &amp; Fitri, 2019)","previouslyFormattedCitation":"(Qamariah, Rosdina, &amp; Fitri, 2019)"},"properties":{"noteIndex":0},"schema":"https://github.com/citation-style-language/schema/raw/master/csl-citation.json"}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(Qamariah, Rosdina, &amp; Fitri, 2019)</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Pr>
          <w:rFonts w:ascii="Times New Roman" w:hAnsi="Times New Roman"/>
          <w:noProof/>
          <w:sz w:val="24"/>
          <w:lang w:val="en-US"/>
        </w:rPr>
        <w:t>exposition text</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{"citationItems":[{"id":"ITEM-1","itemData":{"author":[{"dropping-particle":"","family":"Nafisah","given":"Jauharotun","non-dropping-particle":"","parse-names":false,"suffix":""}],"container-title":"Jurnal Edulingua","id":"ITEM-1","issue":"2","issued":{"date-parts":[["2018"]]},"page":"29-40","title":"The Effectiveness of Cooperative Integrated Reading and Composition (CIRC) Technique in Teaching Reading Comprehension on Hortatory Exposition Text","type":"article-journal","volume":"5"},"uris":["http://www.mendeley.com/documents/?uuid=1bcea56e-a6ef-4fcb-8b46-2925eafb8372"]}],"mendeley":{"formattedCitation":"(Nafisah, 2018)","plainTextFormattedCitation":"(Nafisah, 2018)","previouslyFormattedCitation":"(Nafisah, 2018)"},"properties":{"noteIndex":0},"schema":"https://github.com/citation-style-language/schema/raw/master/csl-citation.json"}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(Nafisah, 2018)</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Pr="00061A48">
        <w:rPr>
          <w:rFonts w:ascii="Times New Roman" w:hAnsi="Times New Roman"/>
          <w:noProof/>
          <w:sz w:val="24"/>
          <w:lang w:val="id-ID"/>
        </w:rPr>
        <w:t>and essays</w:t>
      </w:r>
      <w:r w:rsidR="00894545" w:rsidRPr="00430EF7">
        <w:rPr>
          <w:rFonts w:ascii="Times New Roman" w:hAnsi="Times New Roman"/>
          <w:noProof/>
          <w:sz w:val="24"/>
          <w:lang w:val="id-ID"/>
        </w:rPr>
        <w:t xml:space="preserve"> </w:t>
      </w:r>
      <w:r w:rsidR="00894545" w:rsidRPr="00430EF7">
        <w:rPr>
          <w:rFonts w:ascii="Times New Roman" w:hAnsi="Times New Roman"/>
          <w:noProof/>
          <w:sz w:val="24"/>
          <w:lang w:val="id-ID"/>
        </w:rPr>
        <w:fldChar w:fldCharType="begin" w:fldLock="1"/>
      </w:r>
      <w:r w:rsidR="00894545" w:rsidRPr="00430EF7">
        <w:rPr>
          <w:rFonts w:ascii="Times New Roman" w:hAnsi="Times New Roman"/>
          <w:noProof/>
          <w:sz w:val="24"/>
          <w:lang w:val="id-ID"/>
        </w:rPr>
        <w:instrText>ADDIN CSL_CITATION {"citationItems":[{"id":"ITEM-1","itemData":{"author":[{"dropping-particle":"","family":"Khuzaemah","given":"Emah","non-dropping-particle":"","parse-names":false,"suffix":""},{"dropping-particle":"","family":"Herawati","given":"Lilik","non-dropping-particle":"","parse-names":false,"suffix":""}],"container-title":"Journal Indonesian Language Education and Literature","id":"ITEM-1","issue":"2","issued":{"date-parts":[["2017"]]},"page":"148-162","title":"Pembelajaran Menulis Esai Menggunakan Model Cooperative Integrated Reading and Composition (CIRC) Berbasis Life Skills","type":"article-journal","volume":"2"},"uris":["http://www.mendeley.com/documents/?uuid=5ccea559-0cd0-4787-b343-a2199c987507"]}],"mendeley":{"formattedCitation":"(Khuzaemah &amp; Herawati, 2017)","plainTextFormattedCitation":"(Khuzaemah &amp; Herawati, 2017)","previouslyFormattedCitation":"(Khuzaemah &amp; Herawati, 2017)"},"properties":{"noteIndex":0},"schema":"https://github.com/citation-style-language/schema/raw/master/csl-citation.json"}</w:instrText>
      </w:r>
      <w:r w:rsidR="00894545" w:rsidRPr="00430EF7">
        <w:rPr>
          <w:rFonts w:ascii="Times New Roman" w:hAnsi="Times New Roman"/>
          <w:noProof/>
          <w:sz w:val="24"/>
          <w:lang w:val="id-ID"/>
        </w:rPr>
        <w:fldChar w:fldCharType="separate"/>
      </w:r>
      <w:r w:rsidR="00894545" w:rsidRPr="00430EF7">
        <w:rPr>
          <w:rFonts w:ascii="Times New Roman" w:hAnsi="Times New Roman"/>
          <w:noProof/>
          <w:sz w:val="24"/>
          <w:lang w:val="id-ID"/>
        </w:rPr>
        <w:t>(Khuzaemah &amp; Herawati, 2017)</w:t>
      </w:r>
      <w:r w:rsidR="00894545" w:rsidRPr="00430EF7">
        <w:rPr>
          <w:rFonts w:ascii="Times New Roman" w:hAnsi="Times New Roman"/>
          <w:noProof/>
          <w:sz w:val="24"/>
          <w:lang w:val="id-ID"/>
        </w:rPr>
        <w:fldChar w:fldCharType="end"/>
      </w:r>
      <w:r w:rsidR="00894545" w:rsidRPr="00430EF7">
        <w:rPr>
          <w:rFonts w:ascii="Times New Roman" w:hAnsi="Times New Roman"/>
          <w:noProof/>
          <w:sz w:val="24"/>
          <w:lang w:val="id-ID"/>
        </w:rPr>
        <w:t xml:space="preserve">. </w:t>
      </w:r>
      <w:r w:rsidR="00831F66" w:rsidRPr="00831F66">
        <w:rPr>
          <w:rFonts w:ascii="Times New Roman" w:hAnsi="Times New Roman"/>
          <w:noProof/>
          <w:sz w:val="24"/>
          <w:lang w:val="id-ID"/>
        </w:rPr>
        <w:t>The CIRC model is seen as being able to increase student enthusiasm in learning to read and write.</w:t>
      </w:r>
    </w:p>
    <w:p w:rsidR="00831F66" w:rsidRDefault="00831F66" w:rsidP="00894545">
      <w:pPr>
        <w:pStyle w:val="ListParagraph"/>
        <w:tabs>
          <w:tab w:val="left" w:leader="dot" w:pos="3038"/>
          <w:tab w:val="left" w:pos="3969"/>
        </w:tabs>
        <w:spacing w:line="240" w:lineRule="auto"/>
        <w:ind w:left="0" w:firstLine="709"/>
        <w:jc w:val="both"/>
        <w:rPr>
          <w:rFonts w:ascii="Times New Roman" w:hAnsi="Times New Roman"/>
          <w:noProof/>
          <w:sz w:val="24"/>
          <w:lang w:val="en-US"/>
        </w:rPr>
      </w:pPr>
      <w:r w:rsidRPr="00831F66">
        <w:rPr>
          <w:rFonts w:ascii="Times New Roman" w:hAnsi="Times New Roman"/>
          <w:noProof/>
          <w:sz w:val="24"/>
          <w:lang w:val="id-ID"/>
        </w:rPr>
        <w:t>The results of previous studies generally provide conclusions about the effectiveness of the STAD and CIRC models on improving learning outcomes. These conclusions are presented in accordance with the advantages of each model in learning. The research conclusion only explains that the two models are effectively used in various levels of education and various fields of science, not at which stage the model plays a role in improving learning outcomes.</w:t>
      </w:r>
    </w:p>
    <w:p w:rsidR="00894545" w:rsidRDefault="00831F66" w:rsidP="00831F66">
      <w:pPr>
        <w:pStyle w:val="ListParagraph"/>
        <w:tabs>
          <w:tab w:val="left" w:leader="dot" w:pos="3038"/>
          <w:tab w:val="left" w:pos="3969"/>
        </w:tabs>
        <w:spacing w:line="240" w:lineRule="auto"/>
        <w:ind w:left="0" w:firstLine="709"/>
        <w:jc w:val="both"/>
        <w:rPr>
          <w:rFonts w:ascii="Times New Roman" w:hAnsi="Times New Roman"/>
          <w:noProof/>
          <w:sz w:val="24"/>
          <w:lang w:val="en-US"/>
        </w:rPr>
      </w:pPr>
      <w:r w:rsidRPr="00831F66">
        <w:rPr>
          <w:rFonts w:ascii="Times New Roman" w:hAnsi="Times New Roman"/>
          <w:noProof/>
          <w:sz w:val="24"/>
          <w:lang w:val="id-ID"/>
        </w:rPr>
        <w:t xml:space="preserve">Therefore, in this study, the STAD and CIRC models will be applied in poetry learning. In addition to aiming to determine the effectiveness of the two models in poetry learning, this study also aims to determine the uniqueness of each of these models in learning poetry, especially for students of </w:t>
      </w:r>
      <w:r>
        <w:rPr>
          <w:rFonts w:ascii="Times New Roman" w:hAnsi="Times New Roman"/>
          <w:noProof/>
          <w:sz w:val="24"/>
          <w:lang w:val="en-US"/>
        </w:rPr>
        <w:t>Program Studi Pendidikan Bahasa dan Sastra Indonesia, STKIP PGRI Sumatera Barat</w:t>
      </w:r>
      <w:r w:rsidRPr="00831F66">
        <w:rPr>
          <w:rFonts w:ascii="Times New Roman" w:hAnsi="Times New Roman"/>
          <w:noProof/>
          <w:sz w:val="24"/>
          <w:lang w:val="id-ID"/>
        </w:rPr>
        <w:t>. In the end, this study will answer two research questions, namely: how is the influence of the STAD and CIRC models in poetry learning, and what is the uniqueness of the STAD and CIRC models so that it is assumed to improve students' abilities in learning poetry.</w:t>
      </w:r>
    </w:p>
    <w:p w:rsidR="00831F66" w:rsidRPr="00831F66" w:rsidRDefault="00831F66" w:rsidP="00831F66">
      <w:pPr>
        <w:pStyle w:val="ListParagraph"/>
        <w:tabs>
          <w:tab w:val="left" w:leader="dot" w:pos="3038"/>
          <w:tab w:val="left" w:pos="3969"/>
        </w:tabs>
        <w:spacing w:after="0" w:line="240" w:lineRule="auto"/>
        <w:ind w:left="0" w:firstLine="709"/>
        <w:jc w:val="both"/>
        <w:rPr>
          <w:rFonts w:ascii="Times New Roman" w:hAnsi="Times New Roman"/>
          <w:noProof/>
          <w:sz w:val="24"/>
          <w:lang w:val="en-US"/>
        </w:rPr>
      </w:pPr>
    </w:p>
    <w:p w:rsidR="00894545" w:rsidRPr="00831F66" w:rsidRDefault="00831F66" w:rsidP="00894545">
      <w:pPr>
        <w:pStyle w:val="BodytextMaJER"/>
        <w:spacing w:line="360" w:lineRule="auto"/>
        <w:rPr>
          <w:b/>
          <w:noProof/>
          <w:lang w:val="en-US"/>
        </w:rPr>
      </w:pPr>
      <w:r>
        <w:rPr>
          <w:b/>
          <w:noProof/>
          <w:lang w:val="id-ID"/>
        </w:rPr>
        <w:t>ME</w:t>
      </w:r>
      <w:r>
        <w:rPr>
          <w:b/>
          <w:noProof/>
          <w:lang w:val="en-US"/>
        </w:rPr>
        <w:t>THOD</w:t>
      </w:r>
    </w:p>
    <w:p w:rsidR="00894545" w:rsidRPr="00831F66" w:rsidRDefault="00831F66" w:rsidP="00894545">
      <w:pPr>
        <w:pStyle w:val="BodytextMaJER"/>
        <w:rPr>
          <w:b/>
          <w:i/>
          <w:noProof/>
          <w:lang w:val="en-US"/>
        </w:rPr>
      </w:pPr>
      <w:r w:rsidRPr="00831F66">
        <w:rPr>
          <w:b/>
          <w:i/>
          <w:noProof/>
          <w:lang w:val="en-US"/>
        </w:rPr>
        <w:t>Respondents</w:t>
      </w:r>
    </w:p>
    <w:p w:rsidR="00894545" w:rsidRPr="00430EF7" w:rsidRDefault="00831F66" w:rsidP="00894545">
      <w:pPr>
        <w:pStyle w:val="BodytextMaJER"/>
        <w:ind w:firstLine="720"/>
        <w:rPr>
          <w:noProof/>
          <w:lang w:val="id-ID"/>
        </w:rPr>
      </w:pPr>
      <w:r w:rsidRPr="00831F66">
        <w:rPr>
          <w:noProof/>
          <w:lang w:val="id-ID"/>
        </w:rPr>
        <w:t>This research is an experimental study with the randomized posttest only control group design</w:t>
      </w:r>
      <w:r w:rsidR="00894545" w:rsidRPr="00430EF7">
        <w:rPr>
          <w:i/>
          <w:noProof/>
          <w:lang w:val="id-ID"/>
        </w:rPr>
        <w:t xml:space="preserve"> </w:t>
      </w:r>
      <w:r w:rsidR="00894545" w:rsidRPr="00430EF7">
        <w:rPr>
          <w:i/>
          <w:noProof/>
          <w:lang w:val="id-ID"/>
        </w:rPr>
        <w:fldChar w:fldCharType="begin" w:fldLock="1"/>
      </w:r>
      <w:r w:rsidR="00894545" w:rsidRPr="00430EF7">
        <w:rPr>
          <w:i/>
          <w:noProof/>
          <w:lang w:val="id-ID"/>
        </w:rPr>
        <w:instrText>ADDIN CSL_CITATION {"citationItems":[{"id":"ITEM-1","itemData":{"author":[{"dropping-particle":"","family":"Yusuf","given":"A Muri","non-dropping-particle":"","parse-names":false,"suffix":""}],"id":"ITEM-1","issued":{"date-parts":[["2007"]]},"publisher-place":"Padang: UNP Press","title":"Metodologi Penelitian: Dasar-Dasar Penyelidikan Ilmiah","type":"book"},"uris":["http://www.mendeley.com/documents/?uuid=4dd942b1-03c2-45ab-940a-e73b1fc03cab"]}],"mendeley":{"formattedCitation":"(Yusuf, 2007)","plainTextFormattedCitation":"(Yusuf, 2007)","previouslyFormattedCitation":"(Yusuf, 2007)"},"properties":{"noteIndex":0},"schema":"https://github.com/citation-style-language/schema/raw/master/csl-citation.json"}</w:instrText>
      </w:r>
      <w:r w:rsidR="00894545" w:rsidRPr="00430EF7">
        <w:rPr>
          <w:i/>
          <w:noProof/>
          <w:lang w:val="id-ID"/>
        </w:rPr>
        <w:fldChar w:fldCharType="separate"/>
      </w:r>
      <w:r w:rsidR="00894545" w:rsidRPr="00430EF7">
        <w:rPr>
          <w:noProof/>
          <w:lang w:val="id-ID"/>
        </w:rPr>
        <w:t>(Yusuf, 2007)</w:t>
      </w:r>
      <w:r w:rsidR="00894545" w:rsidRPr="00430EF7">
        <w:rPr>
          <w:i/>
          <w:noProof/>
          <w:lang w:val="id-ID"/>
        </w:rPr>
        <w:fldChar w:fldCharType="end"/>
      </w:r>
      <w:r w:rsidR="00894545" w:rsidRPr="00430EF7">
        <w:rPr>
          <w:i/>
          <w:noProof/>
          <w:lang w:val="id-ID"/>
        </w:rPr>
        <w:t>.</w:t>
      </w:r>
      <w:r w:rsidR="00894545" w:rsidRPr="00430EF7">
        <w:rPr>
          <w:noProof/>
          <w:lang w:val="id-ID"/>
        </w:rPr>
        <w:t xml:space="preserve"> </w:t>
      </w:r>
      <w:r w:rsidRPr="00831F66">
        <w:rPr>
          <w:noProof/>
          <w:lang w:val="id-ID"/>
        </w:rPr>
        <w:t xml:space="preserve">This research was conducted for six weeks, namely: from February 6, 2017, to March 18, 2017. The population in the study were students of class 2016 which consisted of four sessions, namely: A, B, C, D. The research subjects were selected randomly with simple techniques. random sampling. The stages of determining the research subject were: (1) collecting the initial test scores of understanding poetry, (2) conducting the average similarity test by conducting the normality test and </w:t>
      </w:r>
      <w:r w:rsidRPr="00831F66">
        <w:rPr>
          <w:noProof/>
          <w:lang w:val="id-ID"/>
        </w:rPr>
        <w:lastRenderedPageBreak/>
        <w:t>homogeneity test in each class, (3) conducting the analysis requirements test by selecting two distributed classes normal and homegen on the mean similarity test. Based on this process, session B and session C were selected as research subjects.</w:t>
      </w:r>
    </w:p>
    <w:p w:rsidR="00894545" w:rsidRPr="00430EF7" w:rsidRDefault="00894545" w:rsidP="00894545">
      <w:pPr>
        <w:pStyle w:val="BodytextMaJER"/>
        <w:rPr>
          <w:noProof/>
          <w:lang w:val="id-ID"/>
        </w:rPr>
      </w:pPr>
    </w:p>
    <w:p w:rsidR="00894545" w:rsidRPr="00831F66" w:rsidRDefault="00894545" w:rsidP="00894545">
      <w:pPr>
        <w:pStyle w:val="BodytextMaJER"/>
        <w:rPr>
          <w:b/>
          <w:noProof/>
          <w:lang w:val="en-US"/>
        </w:rPr>
      </w:pPr>
      <w:r w:rsidRPr="00831F66">
        <w:rPr>
          <w:b/>
          <w:i/>
          <w:noProof/>
          <w:lang w:val="id-ID"/>
        </w:rPr>
        <w:t>Instrumen</w:t>
      </w:r>
      <w:r w:rsidR="00831F66" w:rsidRPr="00831F66">
        <w:rPr>
          <w:b/>
          <w:i/>
          <w:noProof/>
          <w:lang w:val="en-US"/>
        </w:rPr>
        <w:t>ts</w:t>
      </w:r>
    </w:p>
    <w:p w:rsidR="00831F66" w:rsidRPr="00831F66" w:rsidRDefault="00831F66" w:rsidP="00831F66">
      <w:pPr>
        <w:pStyle w:val="BodytextMaJER"/>
        <w:ind w:firstLine="720"/>
        <w:rPr>
          <w:noProof/>
          <w:lang w:val="id-ID"/>
        </w:rPr>
      </w:pPr>
      <w:r w:rsidRPr="00831F66">
        <w:rPr>
          <w:noProof/>
          <w:lang w:val="id-ID"/>
        </w:rPr>
        <w:t>The instruments used in this study consisted of two, namely: SAP and multiple-choice tests to understand poetry. SAP is prepared according to the stages of the STAD and CIRC models. Before being used, SAP is first validated by teaching experts. SAP is assessed based on four aspects, namely: in terms of content, language, presentation, and graphics. The validation results show that SAPs arranged according to the STAD model stages are in a good category with an average of 4.20. SAPs prepared according to the stages of the CIRC model are categorized as good with an average of 4.30.</w:t>
      </w:r>
    </w:p>
    <w:p w:rsidR="00894545" w:rsidRPr="00430EF7" w:rsidRDefault="00831F66" w:rsidP="00831F66">
      <w:pPr>
        <w:pStyle w:val="BodytextMaJER"/>
        <w:ind w:firstLine="720"/>
        <w:rPr>
          <w:noProof/>
          <w:lang w:val="id-ID"/>
        </w:rPr>
      </w:pPr>
      <w:r w:rsidRPr="00831F66">
        <w:rPr>
          <w:noProof/>
          <w:lang w:val="id-ID"/>
        </w:rPr>
        <w:t>Apart from SAP, another instrument that was prepared was a multiple-choice test to test students' understanding of poetry. Prior to use, the test instrument is validated by experts in terms of instructions, coverage, and language. The results of expert validation showed that the test instrument was categorized as good with an average of 4.60. Apart from content validation, item validation was also carried out. Item validation was done by testing the validity and reliability of the test. Of the 65 items tested, the remaining 50 items were suitable for collecting data.</w:t>
      </w:r>
    </w:p>
    <w:p w:rsidR="00894545" w:rsidRPr="00430EF7" w:rsidRDefault="00894545" w:rsidP="00894545">
      <w:pPr>
        <w:pStyle w:val="BodytextMaJER"/>
        <w:ind w:firstLine="720"/>
        <w:rPr>
          <w:noProof/>
          <w:lang w:val="id-ID"/>
        </w:rPr>
      </w:pPr>
    </w:p>
    <w:p w:rsidR="00894545" w:rsidRPr="00831F66" w:rsidRDefault="00831F66" w:rsidP="00894545">
      <w:pPr>
        <w:pStyle w:val="BodytextMaJER"/>
        <w:rPr>
          <w:b/>
          <w:noProof/>
          <w:lang w:val="en-US"/>
        </w:rPr>
      </w:pPr>
      <w:r w:rsidRPr="00831F66">
        <w:rPr>
          <w:b/>
          <w:i/>
          <w:noProof/>
          <w:lang w:val="id-ID"/>
        </w:rPr>
        <w:t>Pro</w:t>
      </w:r>
      <w:r w:rsidRPr="00831F66">
        <w:rPr>
          <w:b/>
          <w:i/>
          <w:noProof/>
          <w:lang w:val="en-US"/>
        </w:rPr>
        <w:t>cedures</w:t>
      </w:r>
    </w:p>
    <w:p w:rsidR="00831F66" w:rsidRPr="00831F66" w:rsidRDefault="006D75CC" w:rsidP="00831F66">
      <w:pPr>
        <w:pStyle w:val="BodytextMaJER"/>
        <w:ind w:firstLine="720"/>
        <w:rPr>
          <w:noProof/>
          <w:lang w:val="id-ID"/>
        </w:rPr>
      </w:pPr>
      <w:r>
        <w:rPr>
          <w:noProof/>
          <w:lang w:val="en-US"/>
        </w:rPr>
        <w:t>Teacher</w:t>
      </w:r>
      <w:r w:rsidR="00831F66" w:rsidRPr="00831F66">
        <w:rPr>
          <w:noProof/>
          <w:lang w:val="id-ID"/>
        </w:rPr>
        <w:t xml:space="preserve">s carry out poetry learning in session B with the STAD model and session C with the CIRC model. After carrying out learning to understand poetry in experimental class I with the STAD model and experimental class II with the CIRC model, the </w:t>
      </w:r>
      <w:r>
        <w:rPr>
          <w:noProof/>
          <w:lang w:val="en-US"/>
        </w:rPr>
        <w:t>teacher</w:t>
      </w:r>
      <w:r w:rsidR="00831F66" w:rsidRPr="00831F66">
        <w:rPr>
          <w:noProof/>
          <w:lang w:val="id-ID"/>
        </w:rPr>
        <w:t xml:space="preserve"> gave a posttest to the two experimental classes to test each student's understanding of poetry.</w:t>
      </w:r>
    </w:p>
    <w:p w:rsidR="00894545" w:rsidRPr="00430EF7" w:rsidRDefault="00831F66" w:rsidP="00831F66">
      <w:pPr>
        <w:pStyle w:val="BodytextMaJER"/>
        <w:ind w:firstLine="720"/>
        <w:rPr>
          <w:noProof/>
          <w:lang w:val="id-ID"/>
        </w:rPr>
      </w:pPr>
      <w:r w:rsidRPr="00831F66">
        <w:rPr>
          <w:noProof/>
          <w:lang w:val="id-ID"/>
        </w:rPr>
        <w:t>The STAD and CIRC model procedures in poetry learning in the two experimental classes are visualized in Table 1 below.</w:t>
      </w:r>
    </w:p>
    <w:p w:rsidR="00894545" w:rsidRPr="00430EF7" w:rsidRDefault="00894545" w:rsidP="00894545">
      <w:pPr>
        <w:pStyle w:val="BodytextMaJER"/>
        <w:ind w:firstLine="720"/>
        <w:rPr>
          <w:noProof/>
          <w:lang w:val="id-ID"/>
        </w:rPr>
      </w:pPr>
    </w:p>
    <w:p w:rsidR="00894545" w:rsidRPr="00430EF7" w:rsidRDefault="006D75CC" w:rsidP="00894545">
      <w:pPr>
        <w:pStyle w:val="BodytextMaJER"/>
        <w:ind w:firstLine="720"/>
        <w:rPr>
          <w:noProof/>
          <w:lang w:val="id-ID"/>
        </w:rPr>
      </w:pPr>
      <w:r w:rsidRPr="006D75CC">
        <w:rPr>
          <w:b/>
          <w:noProof/>
          <w:sz w:val="20"/>
          <w:szCs w:val="20"/>
          <w:lang w:val="id-ID"/>
        </w:rPr>
        <w:t>Table 1. The STAD and CIRC Models Procedures in Learning Poetry</w:t>
      </w:r>
      <w:r w:rsidR="00894545" w:rsidRPr="00430EF7">
        <w:rPr>
          <w:b/>
          <w:noProof/>
          <w:sz w:val="20"/>
          <w:szCs w:val="20"/>
          <w:lang w:val="id-ID"/>
        </w:rPr>
        <w:t xml:space="preserve"> </w:t>
      </w:r>
    </w:p>
    <w:tbl>
      <w:tblPr>
        <w:tblW w:w="9020" w:type="dxa"/>
        <w:tblInd w:w="-72" w:type="dxa"/>
        <w:tblBorders>
          <w:top w:val="single" w:sz="4" w:space="0" w:color="000000"/>
          <w:bottom w:val="single" w:sz="4" w:space="0" w:color="000000"/>
          <w:insideH w:val="single" w:sz="4" w:space="0" w:color="000000"/>
        </w:tblBorders>
        <w:tblLayout w:type="fixed"/>
        <w:tblLook w:val="04A0"/>
      </w:tblPr>
      <w:tblGrid>
        <w:gridCol w:w="810"/>
        <w:gridCol w:w="3628"/>
        <w:gridCol w:w="782"/>
        <w:gridCol w:w="3800"/>
      </w:tblGrid>
      <w:tr w:rsidR="00894545" w:rsidRPr="00430EF7" w:rsidTr="000263CB">
        <w:tc>
          <w:tcPr>
            <w:tcW w:w="810" w:type="dxa"/>
          </w:tcPr>
          <w:p w:rsidR="00894545" w:rsidRPr="006D75CC" w:rsidRDefault="006D75CC" w:rsidP="000263CB">
            <w:pPr>
              <w:pStyle w:val="normal0"/>
              <w:spacing w:after="0" w:line="240" w:lineRule="auto"/>
              <w:jc w:val="center"/>
              <w:rPr>
                <w:rFonts w:ascii="Times New Roman" w:eastAsia="Times New Roman" w:hAnsi="Times New Roman" w:cs="Times New Roman"/>
                <w:b/>
                <w:noProof/>
                <w:color w:val="000000"/>
                <w:sz w:val="20"/>
                <w:szCs w:val="20"/>
                <w:lang w:val="en-US"/>
              </w:rPr>
            </w:pPr>
            <w:r>
              <w:rPr>
                <w:rFonts w:ascii="Times New Roman" w:eastAsia="Times New Roman" w:hAnsi="Times New Roman" w:cs="Times New Roman"/>
                <w:b/>
                <w:noProof/>
                <w:color w:val="000000"/>
                <w:sz w:val="20"/>
                <w:szCs w:val="20"/>
                <w:lang w:val="en-US"/>
              </w:rPr>
              <w:t>Step</w:t>
            </w:r>
          </w:p>
        </w:tc>
        <w:tc>
          <w:tcPr>
            <w:tcW w:w="3628" w:type="dxa"/>
          </w:tcPr>
          <w:p w:rsidR="00894545" w:rsidRPr="006D75CC" w:rsidRDefault="00894545" w:rsidP="000263CB">
            <w:pPr>
              <w:pStyle w:val="normal0"/>
              <w:spacing w:after="0" w:line="240" w:lineRule="auto"/>
              <w:jc w:val="center"/>
              <w:rPr>
                <w:rFonts w:ascii="Times New Roman" w:eastAsia="Times New Roman" w:hAnsi="Times New Roman" w:cs="Times New Roman"/>
                <w:b/>
                <w:noProof/>
                <w:color w:val="000000"/>
                <w:sz w:val="20"/>
                <w:szCs w:val="20"/>
                <w:lang w:val="en-US"/>
              </w:rPr>
            </w:pPr>
            <w:r w:rsidRPr="00430EF7">
              <w:rPr>
                <w:rFonts w:ascii="Times New Roman" w:eastAsia="Times New Roman" w:hAnsi="Times New Roman" w:cs="Times New Roman"/>
                <w:b/>
                <w:noProof/>
                <w:color w:val="000000"/>
                <w:sz w:val="20"/>
                <w:szCs w:val="20"/>
                <w:lang w:val="id-ID"/>
              </w:rPr>
              <w:t>STAD</w:t>
            </w:r>
            <w:r w:rsidR="006D75CC">
              <w:rPr>
                <w:rFonts w:ascii="Times New Roman" w:eastAsia="Times New Roman" w:hAnsi="Times New Roman" w:cs="Times New Roman"/>
                <w:b/>
                <w:noProof/>
                <w:color w:val="000000"/>
                <w:sz w:val="20"/>
                <w:szCs w:val="20"/>
                <w:lang w:val="en-US"/>
              </w:rPr>
              <w:t xml:space="preserve"> Model</w:t>
            </w:r>
          </w:p>
        </w:tc>
        <w:tc>
          <w:tcPr>
            <w:tcW w:w="782" w:type="dxa"/>
          </w:tcPr>
          <w:p w:rsidR="00894545" w:rsidRPr="006D75CC" w:rsidRDefault="006D75CC" w:rsidP="000263CB">
            <w:pPr>
              <w:pStyle w:val="normal0"/>
              <w:spacing w:after="0" w:line="240" w:lineRule="auto"/>
              <w:jc w:val="center"/>
              <w:rPr>
                <w:rFonts w:ascii="Times New Roman" w:eastAsia="Times New Roman" w:hAnsi="Times New Roman" w:cs="Times New Roman"/>
                <w:b/>
                <w:noProof/>
                <w:color w:val="000000"/>
                <w:sz w:val="20"/>
                <w:szCs w:val="20"/>
                <w:lang w:val="en-US"/>
              </w:rPr>
            </w:pPr>
            <w:r>
              <w:rPr>
                <w:rFonts w:ascii="Times New Roman" w:eastAsia="Times New Roman" w:hAnsi="Times New Roman" w:cs="Times New Roman"/>
                <w:b/>
                <w:noProof/>
                <w:color w:val="000000"/>
                <w:sz w:val="20"/>
                <w:szCs w:val="20"/>
                <w:lang w:val="en-US"/>
              </w:rPr>
              <w:t>Step</w:t>
            </w:r>
          </w:p>
        </w:tc>
        <w:tc>
          <w:tcPr>
            <w:tcW w:w="3800" w:type="dxa"/>
          </w:tcPr>
          <w:p w:rsidR="00894545" w:rsidRPr="006D75CC" w:rsidRDefault="00894545" w:rsidP="000263CB">
            <w:pPr>
              <w:pStyle w:val="normal0"/>
              <w:spacing w:after="0" w:line="240" w:lineRule="auto"/>
              <w:jc w:val="center"/>
              <w:rPr>
                <w:rFonts w:ascii="Times New Roman" w:eastAsia="Times New Roman" w:hAnsi="Times New Roman" w:cs="Times New Roman"/>
                <w:b/>
                <w:noProof/>
                <w:color w:val="000000"/>
                <w:sz w:val="20"/>
                <w:szCs w:val="20"/>
                <w:lang w:val="en-US"/>
              </w:rPr>
            </w:pPr>
            <w:r w:rsidRPr="00430EF7">
              <w:rPr>
                <w:rFonts w:ascii="Times New Roman" w:eastAsia="Times New Roman" w:hAnsi="Times New Roman" w:cs="Times New Roman"/>
                <w:b/>
                <w:noProof/>
                <w:color w:val="000000"/>
                <w:sz w:val="20"/>
                <w:szCs w:val="20"/>
                <w:lang w:val="id-ID"/>
              </w:rPr>
              <w:t>CIRC</w:t>
            </w:r>
            <w:r w:rsidR="006D75CC">
              <w:rPr>
                <w:rFonts w:ascii="Times New Roman" w:eastAsia="Times New Roman" w:hAnsi="Times New Roman" w:cs="Times New Roman"/>
                <w:b/>
                <w:noProof/>
                <w:color w:val="000000"/>
                <w:sz w:val="20"/>
                <w:szCs w:val="20"/>
                <w:lang w:val="en-US"/>
              </w:rPr>
              <w:t xml:space="preserve"> Model</w:t>
            </w:r>
          </w:p>
        </w:tc>
      </w:tr>
      <w:tr w:rsidR="00894545" w:rsidRPr="00430EF7" w:rsidTr="000263CB">
        <w:tc>
          <w:tcPr>
            <w:tcW w:w="810"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1</w:t>
            </w:r>
          </w:p>
        </w:tc>
        <w:tc>
          <w:tcPr>
            <w:tcW w:w="3628"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Presentation</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The teacher leads the discussion with the students listening to the teacher's directions about the learning activities to be carried out, the heterogeneous group division, as well as the directions for the quiz implementation and the group score calculation.</w:t>
            </w:r>
          </w:p>
        </w:tc>
        <w:tc>
          <w:tcPr>
            <w:tcW w:w="782"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1</w:t>
            </w:r>
          </w:p>
        </w:tc>
        <w:tc>
          <w:tcPr>
            <w:tcW w:w="3800"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Basic Activities</w:t>
            </w:r>
          </w:p>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Teachers and students carry out basic activities, for example, the lecturer divides students into heterogeneous groups, the teacher provides learning materials and materials to students.</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The basis for group division is based on the level of students' reading interest.</w:t>
            </w:r>
          </w:p>
        </w:tc>
      </w:tr>
      <w:tr w:rsidR="00894545" w:rsidRPr="00430EF7" w:rsidTr="000263CB">
        <w:tc>
          <w:tcPr>
            <w:tcW w:w="810"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2</w:t>
            </w:r>
          </w:p>
        </w:tc>
        <w:tc>
          <w:tcPr>
            <w:tcW w:w="3628"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Teamwork</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Students in the group understand the material from the given textbook, understand the elements of poetry in terms of the physical structure and inner structure. Students with high and low abilities work together to understand the material and practice understanding the elements of poetry until all group members understand the material.</w:t>
            </w:r>
          </w:p>
        </w:tc>
        <w:tc>
          <w:tcPr>
            <w:tcW w:w="782"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2</w:t>
            </w:r>
          </w:p>
        </w:tc>
        <w:tc>
          <w:tcPr>
            <w:tcW w:w="3800"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Reading in groups</w:t>
            </w:r>
          </w:p>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 Students in the group understand the material in the textbook given by the lecturer, then understand the elements of poetry.</w:t>
            </w:r>
          </w:p>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 Students in pairs or groups identify keywords in poetry that shows the physical structure and inner structure of the poem.</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 Students in groups make conclusions about the elements of poetry, namely the physical structure and inner structure.</w:t>
            </w:r>
          </w:p>
        </w:tc>
      </w:tr>
      <w:tr w:rsidR="00894545" w:rsidRPr="00430EF7" w:rsidTr="000263CB">
        <w:tc>
          <w:tcPr>
            <w:tcW w:w="810"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3</w:t>
            </w:r>
          </w:p>
        </w:tc>
        <w:tc>
          <w:tcPr>
            <w:tcW w:w="3628"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Giving Quizzes</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 xml:space="preserve">The teacher provides reinforcement about the learning being carried out, then gives a </w:t>
            </w:r>
            <w:r w:rsidRPr="006D75CC">
              <w:rPr>
                <w:rFonts w:ascii="Times New Roman" w:eastAsia="Times New Roman" w:hAnsi="Times New Roman" w:cs="Times New Roman"/>
                <w:noProof/>
                <w:color w:val="000000"/>
                <w:sz w:val="20"/>
                <w:szCs w:val="20"/>
                <w:lang w:val="id-ID"/>
              </w:rPr>
              <w:lastRenderedPageBreak/>
              <w:t>quiz to understand the elements of poetry.</w:t>
            </w:r>
          </w:p>
        </w:tc>
        <w:tc>
          <w:tcPr>
            <w:tcW w:w="782"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lastRenderedPageBreak/>
              <w:t>3</w:t>
            </w:r>
          </w:p>
        </w:tc>
        <w:tc>
          <w:tcPr>
            <w:tcW w:w="3800"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Integrated writing activities</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 xml:space="preserve">Based on the results of the group discussion about the elements of the poetry, each </w:t>
            </w:r>
            <w:r w:rsidRPr="006D75CC">
              <w:rPr>
                <w:rFonts w:ascii="Times New Roman" w:eastAsia="Times New Roman" w:hAnsi="Times New Roman" w:cs="Times New Roman"/>
                <w:noProof/>
                <w:color w:val="000000"/>
                <w:sz w:val="20"/>
                <w:szCs w:val="20"/>
                <w:lang w:val="id-ID"/>
              </w:rPr>
              <w:lastRenderedPageBreak/>
              <w:t>student wrote a short essay about the meaning contained in the poetry being analyzed.</w:t>
            </w:r>
          </w:p>
        </w:tc>
      </w:tr>
      <w:tr w:rsidR="00894545" w:rsidRPr="00430EF7" w:rsidTr="000263CB">
        <w:tc>
          <w:tcPr>
            <w:tcW w:w="810"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lastRenderedPageBreak/>
              <w:t>4</w:t>
            </w:r>
          </w:p>
        </w:tc>
        <w:tc>
          <w:tcPr>
            <w:tcW w:w="3628"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Individual progress score calculation</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Each student gets an initial score from the results of the quiz, then carries out a class discussion to get an additional group score. Each group works together to collect points and become the best team</w:t>
            </w:r>
            <w:r w:rsidR="00894545" w:rsidRPr="00430EF7">
              <w:rPr>
                <w:rFonts w:ascii="Times New Roman" w:eastAsia="Times New Roman" w:hAnsi="Times New Roman" w:cs="Times New Roman"/>
                <w:noProof/>
                <w:color w:val="000000"/>
                <w:sz w:val="20"/>
                <w:szCs w:val="20"/>
                <w:lang w:val="id-ID"/>
              </w:rPr>
              <w:t>.</w:t>
            </w:r>
          </w:p>
        </w:tc>
        <w:tc>
          <w:tcPr>
            <w:tcW w:w="782"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p>
        </w:tc>
        <w:tc>
          <w:tcPr>
            <w:tcW w:w="3800" w:type="dxa"/>
          </w:tcPr>
          <w:p w:rsidR="00894545" w:rsidRPr="00430EF7" w:rsidRDefault="00894545" w:rsidP="000263CB">
            <w:pPr>
              <w:pStyle w:val="normal0"/>
              <w:spacing w:after="0" w:line="240" w:lineRule="auto"/>
              <w:rPr>
                <w:rFonts w:ascii="Times New Roman" w:eastAsia="Times New Roman" w:hAnsi="Times New Roman" w:cs="Times New Roman"/>
                <w:noProof/>
                <w:color w:val="000000"/>
                <w:sz w:val="20"/>
                <w:szCs w:val="20"/>
                <w:lang w:val="id-ID"/>
              </w:rPr>
            </w:pPr>
          </w:p>
        </w:tc>
      </w:tr>
      <w:tr w:rsidR="00894545" w:rsidRPr="00430EF7" w:rsidTr="000263CB">
        <w:tc>
          <w:tcPr>
            <w:tcW w:w="810"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r w:rsidRPr="00430EF7">
              <w:rPr>
                <w:rFonts w:ascii="Times New Roman" w:eastAsia="Times New Roman" w:hAnsi="Times New Roman" w:cs="Times New Roman"/>
                <w:noProof/>
                <w:color w:val="000000"/>
                <w:sz w:val="20"/>
                <w:szCs w:val="20"/>
                <w:lang w:val="id-ID"/>
              </w:rPr>
              <w:t>5</w:t>
            </w:r>
          </w:p>
        </w:tc>
        <w:tc>
          <w:tcPr>
            <w:tcW w:w="3628" w:type="dxa"/>
          </w:tcPr>
          <w:p w:rsidR="006D75CC" w:rsidRPr="006D75CC"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Group Recognition</w:t>
            </w:r>
          </w:p>
          <w:p w:rsidR="00894545" w:rsidRPr="00430EF7" w:rsidRDefault="006D75CC" w:rsidP="006D75CC">
            <w:pPr>
              <w:pStyle w:val="normal0"/>
              <w:spacing w:after="0" w:line="240" w:lineRule="auto"/>
              <w:rPr>
                <w:rFonts w:ascii="Times New Roman" w:eastAsia="Times New Roman" w:hAnsi="Times New Roman" w:cs="Times New Roman"/>
                <w:noProof/>
                <w:color w:val="000000"/>
                <w:sz w:val="20"/>
                <w:szCs w:val="20"/>
                <w:lang w:val="id-ID"/>
              </w:rPr>
            </w:pPr>
            <w:r w:rsidRPr="006D75CC">
              <w:rPr>
                <w:rFonts w:ascii="Times New Roman" w:eastAsia="Times New Roman" w:hAnsi="Times New Roman" w:cs="Times New Roman"/>
                <w:noProof/>
                <w:color w:val="000000"/>
                <w:sz w:val="20"/>
                <w:szCs w:val="20"/>
                <w:lang w:val="id-ID"/>
              </w:rPr>
              <w:t>The groups and individuals who get the highest score and are able to achieve the learning objectives are rewarded.</w:t>
            </w:r>
          </w:p>
        </w:tc>
        <w:tc>
          <w:tcPr>
            <w:tcW w:w="782" w:type="dxa"/>
          </w:tcPr>
          <w:p w:rsidR="00894545" w:rsidRPr="00430EF7" w:rsidRDefault="00894545" w:rsidP="000263CB">
            <w:pPr>
              <w:pStyle w:val="normal0"/>
              <w:spacing w:after="0" w:line="240" w:lineRule="auto"/>
              <w:jc w:val="center"/>
              <w:rPr>
                <w:rFonts w:ascii="Times New Roman" w:eastAsia="Times New Roman" w:hAnsi="Times New Roman" w:cs="Times New Roman"/>
                <w:noProof/>
                <w:color w:val="000000"/>
                <w:sz w:val="20"/>
                <w:szCs w:val="20"/>
                <w:lang w:val="id-ID"/>
              </w:rPr>
            </w:pPr>
          </w:p>
        </w:tc>
        <w:tc>
          <w:tcPr>
            <w:tcW w:w="3800" w:type="dxa"/>
          </w:tcPr>
          <w:p w:rsidR="00894545" w:rsidRPr="00430EF7" w:rsidRDefault="00894545" w:rsidP="000263CB">
            <w:pPr>
              <w:pStyle w:val="normal0"/>
              <w:spacing w:after="0" w:line="240" w:lineRule="auto"/>
              <w:rPr>
                <w:rFonts w:ascii="Times New Roman" w:eastAsia="Times New Roman" w:hAnsi="Times New Roman" w:cs="Times New Roman"/>
                <w:noProof/>
                <w:color w:val="000000"/>
                <w:sz w:val="20"/>
                <w:szCs w:val="20"/>
                <w:lang w:val="id-ID"/>
              </w:rPr>
            </w:pPr>
          </w:p>
        </w:tc>
      </w:tr>
    </w:tbl>
    <w:p w:rsidR="00894545" w:rsidRPr="00430EF7" w:rsidRDefault="00894545"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p>
    <w:p w:rsidR="00894545" w:rsidRPr="00430EF7" w:rsidRDefault="006D5D73"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r w:rsidRPr="006D5D73">
        <w:rPr>
          <w:rFonts w:ascii="Times New Roman" w:eastAsia="Times New Roman" w:hAnsi="Times New Roman" w:cs="Times New Roman"/>
          <w:noProof/>
          <w:color w:val="000000"/>
          <w:sz w:val="24"/>
          <w:szCs w:val="24"/>
          <w:lang w:val="id-ID"/>
        </w:rPr>
        <w:t>In both experimental groups, students were given books on understanding poetry</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{"citationItems":[{"id":"ITEM-1","itemData":{"author":[{"dropping-particle":"","family":"Ramadhanti","given":"Dina","non-dropping-particle":"","parse-names":false,"suffix":""},{"dropping-particle":"","family":"Yanda","given":"Diyan Permata","non-dropping-particle":"","parse-names":false,"suffix":""}],"id":"ITEM-1","issued":{"date-parts":[["2017"]]},"publisher-place":"Yogyakarta: Deepublish","title":"Memahami Puisi","type":"book"},"uris":["http://www.mendeley.com/documents/?uuid=1b75337c-5380-4af2-bafd-95bfec32b2fa"]}],"mendeley":{"formattedCitation":"(Ramadhanti &amp; Yanda, 2017)","plainTextFormattedCitation":"(Ramadhanti &amp; Yanda, 2017)","previouslyFormattedCitation":"(Ramadhanti &amp; Yanda, 2017)"},"properties":{"noteIndex":0},"schema":"https://github.com/citation-style-language/schema/raw/master/csl-citation.json"}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(Ramadhanti &amp; Yanda, 2017)</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6D5D73">
        <w:rPr>
          <w:rFonts w:ascii="Times New Roman" w:eastAsia="Times New Roman" w:hAnsi="Times New Roman" w:cs="Times New Roman"/>
          <w:noProof/>
          <w:color w:val="000000"/>
          <w:sz w:val="24"/>
          <w:szCs w:val="24"/>
          <w:lang w:val="id-ID"/>
        </w:rPr>
        <w:t>namely physical structure and mental structure. After the activity of understanding poetry in both experimental classes ended, students were given a multiple-choice test to test their understanding of poetry.</w:t>
      </w:r>
    </w:p>
    <w:p w:rsidR="00894545" w:rsidRPr="00430EF7" w:rsidRDefault="00894545" w:rsidP="00894545">
      <w:pPr>
        <w:pStyle w:val="BodytextMaJER"/>
        <w:ind w:firstLine="720"/>
        <w:rPr>
          <w:b/>
          <w:noProof/>
          <w:lang w:val="id-ID"/>
        </w:rPr>
      </w:pPr>
    </w:p>
    <w:p w:rsidR="00894545" w:rsidRPr="006D5D73" w:rsidRDefault="006D5D73" w:rsidP="00894545">
      <w:pPr>
        <w:pStyle w:val="BodytextMaJER"/>
        <w:rPr>
          <w:i/>
          <w:noProof/>
          <w:lang w:val="en-US"/>
        </w:rPr>
      </w:pPr>
      <w:r w:rsidRPr="006D5D73">
        <w:rPr>
          <w:b/>
          <w:i/>
          <w:noProof/>
          <w:lang w:val="en-US"/>
        </w:rPr>
        <w:t>Data Analysis</w:t>
      </w:r>
    </w:p>
    <w:p w:rsidR="00894545" w:rsidRPr="00430EF7" w:rsidRDefault="006D5D73" w:rsidP="00894545">
      <w:pPr>
        <w:pStyle w:val="BodytextMaJER"/>
        <w:ind w:firstLine="720"/>
        <w:rPr>
          <w:noProof/>
          <w:lang w:val="id-ID"/>
        </w:rPr>
      </w:pPr>
      <w:r w:rsidRPr="006D5D73">
        <w:rPr>
          <w:noProof/>
          <w:color w:val="000000"/>
          <w:lang w:val="id-ID"/>
        </w:rPr>
        <w:t xml:space="preserve">Student learning outcomes in both experimental groups were calculated using the t-paired sample test formula, then one-way ANOVA testing was carried out to identify the increase in scores of the experimental and control groups. This study uses the Liliefors test to check the normality of the data and the Barlet test to check the homogeneity of the data </w:t>
      </w:r>
      <w:r>
        <w:rPr>
          <w:noProof/>
          <w:color w:val="000000"/>
          <w:lang w:val="id-ID"/>
        </w:rPr>
        <w:t>with a significance level of 5%</w:t>
      </w:r>
      <w:r w:rsidR="00894545" w:rsidRPr="00430EF7">
        <w:rPr>
          <w:noProof/>
          <w:color w:val="000000"/>
          <w:lang w:val="id-ID"/>
        </w:rPr>
        <w:t xml:space="preserve"> </w:t>
      </w:r>
      <w:r w:rsidR="00894545" w:rsidRPr="00430EF7">
        <w:rPr>
          <w:noProof/>
          <w:color w:val="000000"/>
          <w:lang w:val="id-ID"/>
        </w:rPr>
        <w:fldChar w:fldCharType="begin" w:fldLock="1"/>
      </w:r>
      <w:r w:rsidR="00894545" w:rsidRPr="00430EF7">
        <w:rPr>
          <w:noProof/>
          <w:color w:val="000000"/>
          <w:lang w:val="id-ID"/>
        </w:rPr>
        <w:instrText>ADDIN CSL_CITATION {"citationItems":[{"id":"ITEM-1","itemData":{"author":[{"dropping-particle":"","family":"Fitri","given":"Rahayu","non-dropping-particle":"","parse-names":false,"suffix":""},{"dropping-particle":"","family":"Ramadhanti","given":"Dina","non-dropping-particle":"","parse-names":false,"suffix":""}],"id":"ITEM-1","issued":{"date-parts":[["2019"]]},"publisher-place":"Padang: STKIP PGRI Sumbar Press","title":"Buku Ajar Statistika Pendidikan","type":"book"},"uris":["http://www.mendeley.com/documents/?uuid=64c1b90e-0012-4fe3-a1cb-839046b52c53"]}],"mendeley":{"formattedCitation":"(Fitri &amp; Ramadhanti, 2019)","plainTextFormattedCitation":"(Fitri &amp; Ramadhanti, 2019)","previouslyFormattedCitation":"(Fitri &amp; Ramadhanti, 2019)"},"properties":{"noteIndex":0},"schema":"https://github.com/citation-style-language/schema/raw/master/csl-citation.json"}</w:instrText>
      </w:r>
      <w:r w:rsidR="00894545" w:rsidRPr="00430EF7">
        <w:rPr>
          <w:noProof/>
          <w:color w:val="000000"/>
          <w:lang w:val="id-ID"/>
        </w:rPr>
        <w:fldChar w:fldCharType="separate"/>
      </w:r>
      <w:r w:rsidR="00894545" w:rsidRPr="00430EF7">
        <w:rPr>
          <w:noProof/>
          <w:color w:val="000000"/>
          <w:lang w:val="id-ID"/>
        </w:rPr>
        <w:t>(Fitri &amp; Ramadhanti, 2019)</w:t>
      </w:r>
      <w:r w:rsidR="00894545" w:rsidRPr="00430EF7">
        <w:rPr>
          <w:noProof/>
          <w:color w:val="000000"/>
          <w:lang w:val="id-ID"/>
        </w:rPr>
        <w:fldChar w:fldCharType="end"/>
      </w:r>
      <w:r w:rsidR="00894545" w:rsidRPr="00430EF7">
        <w:rPr>
          <w:noProof/>
          <w:color w:val="000000"/>
          <w:lang w:val="id-ID"/>
        </w:rPr>
        <w:t>.</w:t>
      </w:r>
    </w:p>
    <w:p w:rsidR="00894545" w:rsidRPr="00430EF7" w:rsidRDefault="00894545" w:rsidP="00894545">
      <w:pPr>
        <w:pStyle w:val="BodytextMaJER"/>
        <w:rPr>
          <w:noProof/>
          <w:lang w:val="id-ID"/>
        </w:rPr>
      </w:pPr>
    </w:p>
    <w:p w:rsidR="00894545" w:rsidRPr="006D5D73" w:rsidRDefault="006D5D73" w:rsidP="00894545">
      <w:pPr>
        <w:pStyle w:val="BodytextMaJER"/>
        <w:spacing w:line="360" w:lineRule="auto"/>
        <w:rPr>
          <w:b/>
          <w:noProof/>
          <w:lang w:val="en-US"/>
        </w:rPr>
      </w:pPr>
      <w:r>
        <w:rPr>
          <w:b/>
          <w:noProof/>
          <w:lang w:val="en-US"/>
        </w:rPr>
        <w:t>RESULTS AND DISCUSSION</w:t>
      </w:r>
    </w:p>
    <w:p w:rsidR="00894545" w:rsidRPr="00430EF7" w:rsidRDefault="006D5D73" w:rsidP="00894545">
      <w:pPr>
        <w:pStyle w:val="BodytextMaJER"/>
        <w:ind w:firstLine="720"/>
        <w:rPr>
          <w:noProof/>
          <w:lang w:val="id-ID"/>
        </w:rPr>
      </w:pPr>
      <w:r w:rsidRPr="006D5D73">
        <w:rPr>
          <w:noProof/>
          <w:lang w:val="id-ID"/>
        </w:rPr>
        <w:t>This study aims to answer two research questions, namely: how do the STAD and CIRC models influence poetry learning, and what is the uniqueness of the STAD and CIRC models in poetry learning.</w:t>
      </w:r>
    </w:p>
    <w:p w:rsidR="00894545" w:rsidRPr="00430EF7" w:rsidRDefault="00894545" w:rsidP="00894545">
      <w:pPr>
        <w:pStyle w:val="BodytextMaJER"/>
        <w:ind w:firstLine="720"/>
        <w:rPr>
          <w:noProof/>
          <w:lang w:val="id-ID"/>
        </w:rPr>
      </w:pPr>
    </w:p>
    <w:p w:rsidR="00894545" w:rsidRPr="00430EF7" w:rsidRDefault="002016CC" w:rsidP="00894545">
      <w:pPr>
        <w:pStyle w:val="BodytextMaJER"/>
        <w:rPr>
          <w:b/>
          <w:noProof/>
          <w:lang w:val="id-ID"/>
        </w:rPr>
      </w:pPr>
      <w:r w:rsidRPr="002016CC">
        <w:rPr>
          <w:b/>
          <w:noProof/>
          <w:lang w:val="id-ID"/>
        </w:rPr>
        <w:t>Effect of STAD and CIRC Models on Poetry Learning</w:t>
      </w:r>
    </w:p>
    <w:p w:rsidR="00894545" w:rsidRPr="00430EF7" w:rsidRDefault="002016CC" w:rsidP="00894545">
      <w:pPr>
        <w:pStyle w:val="BodytextMaJER"/>
        <w:rPr>
          <w:b/>
          <w:i/>
          <w:noProof/>
          <w:lang w:val="id-ID"/>
        </w:rPr>
      </w:pPr>
      <w:r w:rsidRPr="002016CC">
        <w:rPr>
          <w:b/>
          <w:i/>
          <w:noProof/>
          <w:lang w:val="id-ID"/>
        </w:rPr>
        <w:t>Poetry Learning Outcomes with the STAD Model</w:t>
      </w:r>
    </w:p>
    <w:p w:rsidR="00894545" w:rsidRPr="00430EF7" w:rsidRDefault="002016CC" w:rsidP="00894545">
      <w:pPr>
        <w:pStyle w:val="BodytextMaJER"/>
        <w:ind w:firstLine="720"/>
        <w:rPr>
          <w:noProof/>
          <w:lang w:val="id-ID"/>
        </w:rPr>
      </w:pPr>
      <w:r w:rsidRPr="002016CC">
        <w:rPr>
          <w:noProof/>
          <w:lang w:val="id-ID"/>
        </w:rPr>
        <w:t>Based on data analysis on learning outcomes to understand poetry with the STAD model, information was obtained, namely: the highest score was 88.00; the lowest value is 58.00; mean 75.48; standard deviation 9,10; 83.00 mode; and a median of 81.88. The frequency distribution of these results is visualized in Table 2 below.</w:t>
      </w:r>
    </w:p>
    <w:p w:rsidR="00894545" w:rsidRPr="00430EF7" w:rsidRDefault="00894545" w:rsidP="00894545">
      <w:pPr>
        <w:pStyle w:val="BodytextMaJER"/>
        <w:rPr>
          <w:noProof/>
          <w:lang w:val="id-ID"/>
        </w:rPr>
      </w:pPr>
    </w:p>
    <w:p w:rsidR="00894545" w:rsidRPr="00430EF7" w:rsidRDefault="002016CC" w:rsidP="00894545">
      <w:pPr>
        <w:pStyle w:val="ListParagraph"/>
        <w:spacing w:after="0" w:line="360" w:lineRule="auto"/>
        <w:ind w:left="0"/>
        <w:jc w:val="center"/>
        <w:rPr>
          <w:rFonts w:ascii="Times New Roman" w:hAnsi="Times New Roman"/>
          <w:b/>
          <w:noProof/>
          <w:sz w:val="20"/>
          <w:szCs w:val="20"/>
          <w:lang w:val="id-ID"/>
        </w:rPr>
      </w:pPr>
      <w:r w:rsidRPr="002016CC">
        <w:rPr>
          <w:rFonts w:ascii="Times New Roman" w:hAnsi="Times New Roman"/>
          <w:b/>
          <w:noProof/>
          <w:sz w:val="20"/>
          <w:szCs w:val="20"/>
          <w:lang w:val="id-ID"/>
        </w:rPr>
        <w:t>Table 2. Data Frequency Distribution of Learning Outcomes in Experiment Class I</w:t>
      </w:r>
    </w:p>
    <w:tbl>
      <w:tblPr>
        <w:tblW w:w="8456" w:type="dxa"/>
        <w:tblInd w:w="108" w:type="dxa"/>
        <w:tblBorders>
          <w:top w:val="single" w:sz="4" w:space="0" w:color="auto"/>
          <w:bottom w:val="single" w:sz="4" w:space="0" w:color="auto"/>
          <w:insideH w:val="single" w:sz="4" w:space="0" w:color="auto"/>
        </w:tblBorders>
        <w:tblLook w:val="04A0"/>
      </w:tblPr>
      <w:tblGrid>
        <w:gridCol w:w="899"/>
        <w:gridCol w:w="1258"/>
        <w:gridCol w:w="1145"/>
        <w:gridCol w:w="866"/>
        <w:gridCol w:w="1979"/>
        <w:gridCol w:w="2337"/>
      </w:tblGrid>
      <w:tr w:rsidR="00894545" w:rsidRPr="00430EF7" w:rsidTr="000263CB">
        <w:trPr>
          <w:trHeight w:val="145"/>
        </w:trPr>
        <w:tc>
          <w:tcPr>
            <w:tcW w:w="899" w:type="dxa"/>
            <w:shd w:val="clear" w:color="auto" w:fill="auto"/>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w:r w:rsidRPr="00430EF7">
              <w:rPr>
                <w:rFonts w:ascii="Times New Roman" w:eastAsia="Times New Roman" w:hAnsi="Times New Roman"/>
                <w:b/>
                <w:noProof/>
                <w:color w:val="000000"/>
                <w:sz w:val="20"/>
                <w:szCs w:val="20"/>
              </w:rPr>
              <w:t>Data</w:t>
            </w:r>
          </w:p>
        </w:tc>
        <w:tc>
          <w:tcPr>
            <w:tcW w:w="1258" w:type="dxa"/>
            <w:shd w:val="clear" w:color="auto" w:fill="auto"/>
            <w:noWrap/>
            <w:vAlign w:val="center"/>
            <w:hideMark/>
          </w:tcPr>
          <w:p w:rsidR="00894545" w:rsidRPr="00430EF7" w:rsidRDefault="002016CC" w:rsidP="000263CB">
            <w:pPr>
              <w:spacing w:after="0" w:line="240" w:lineRule="auto"/>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lang w:val="en-US"/>
              </w:rPr>
              <w:t>M</w:t>
            </w:r>
            <w:r w:rsidR="0054104A">
              <w:rPr>
                <w:rFonts w:ascii="Times New Roman" w:eastAsia="Times New Roman" w:hAnsi="Times New Roman"/>
                <w:b/>
                <w:noProof/>
                <w:color w:val="000000"/>
                <w:sz w:val="20"/>
                <w:szCs w:val="20"/>
                <w:lang w:val="en-US"/>
              </w:rPr>
              <w:t>ean</w:t>
            </w:r>
            <w:r w:rsidR="00894545" w:rsidRPr="00430EF7">
              <w:rPr>
                <w:rFonts w:ascii="Times New Roman" w:eastAsia="Times New Roman" w:hAnsi="Times New Roman"/>
                <w:b/>
                <w:noProof/>
                <w:color w:val="000000"/>
                <w:sz w:val="20"/>
                <w:szCs w:val="20"/>
              </w:rPr>
              <w:t xml:space="preserve"> (</w:t>
            </w:r>
            <m:oMath>
              <m:acc>
                <m:accPr>
                  <m:ctrlPr>
                    <w:rPr>
                      <w:rFonts w:ascii="Cambria Math" w:eastAsia="Times New Roman" w:hAnsi="Cambria Math"/>
                      <w:b/>
                      <w:i/>
                      <w:noProof/>
                      <w:color w:val="000000"/>
                      <w:sz w:val="20"/>
                      <w:szCs w:val="20"/>
                    </w:rPr>
                  </m:ctrlPr>
                </m:accPr>
                <m:e>
                  <m:r>
                    <m:rPr>
                      <m:sty m:val="bi"/>
                    </m:rPr>
                    <w:rPr>
                      <w:rFonts w:ascii="Cambria Math" w:eastAsia="Times New Roman" w:hAnsi="Cambria Math"/>
                      <w:noProof/>
                      <w:color w:val="000000"/>
                      <w:sz w:val="20"/>
                      <w:szCs w:val="20"/>
                    </w:rPr>
                    <m:t>X</m:t>
                  </m:r>
                </m:e>
              </m:acc>
            </m:oMath>
            <w:r w:rsidR="00894545" w:rsidRPr="00430EF7">
              <w:rPr>
                <w:rFonts w:ascii="Times New Roman" w:eastAsia="Times New Roman" w:hAnsi="Times New Roman"/>
                <w:b/>
                <w:noProof/>
                <w:color w:val="000000"/>
                <w:sz w:val="20"/>
                <w:szCs w:val="20"/>
              </w:rPr>
              <w:t>)</w:t>
            </w:r>
          </w:p>
        </w:tc>
        <w:tc>
          <w:tcPr>
            <w:tcW w:w="1145" w:type="dxa"/>
            <w:shd w:val="clear" w:color="auto" w:fill="auto"/>
            <w:noWrap/>
            <w:vAlign w:val="center"/>
            <w:hideMark/>
          </w:tcPr>
          <w:p w:rsidR="00894545" w:rsidRPr="00187DC5" w:rsidRDefault="00187DC5" w:rsidP="000263CB">
            <w:pPr>
              <w:spacing w:after="0" w:line="240" w:lineRule="auto"/>
              <w:jc w:val="center"/>
              <w:rPr>
                <w:rFonts w:ascii="Times New Roman" w:eastAsia="Times New Roman" w:hAnsi="Times New Roman"/>
                <w:b/>
                <w:noProof/>
                <w:color w:val="000000"/>
                <w:sz w:val="20"/>
                <w:szCs w:val="20"/>
                <w:lang w:val="en-US"/>
              </w:rPr>
            </w:pPr>
            <w:r>
              <w:rPr>
                <w:rFonts w:ascii="Times New Roman" w:eastAsia="Times New Roman" w:hAnsi="Times New Roman"/>
                <w:b/>
                <w:noProof/>
                <w:color w:val="000000"/>
                <w:sz w:val="20"/>
                <w:szCs w:val="20"/>
              </w:rPr>
              <w:t>Fre</w:t>
            </w:r>
            <w:r>
              <w:rPr>
                <w:rFonts w:ascii="Times New Roman" w:eastAsia="Times New Roman" w:hAnsi="Times New Roman"/>
                <w:b/>
                <w:noProof/>
                <w:color w:val="000000"/>
                <w:sz w:val="20"/>
                <w:szCs w:val="20"/>
                <w:lang w:val="en-US"/>
              </w:rPr>
              <w:t>q</w:t>
            </w:r>
            <w:r>
              <w:rPr>
                <w:rFonts w:ascii="Times New Roman" w:eastAsia="Times New Roman" w:hAnsi="Times New Roman"/>
                <w:b/>
                <w:noProof/>
                <w:color w:val="000000"/>
                <w:sz w:val="20"/>
                <w:szCs w:val="20"/>
              </w:rPr>
              <w:t>uen</w:t>
            </w:r>
            <w:r>
              <w:rPr>
                <w:rFonts w:ascii="Times New Roman" w:eastAsia="Times New Roman" w:hAnsi="Times New Roman"/>
                <w:b/>
                <w:noProof/>
                <w:color w:val="000000"/>
                <w:sz w:val="20"/>
                <w:szCs w:val="20"/>
                <w:lang w:val="en-US"/>
              </w:rPr>
              <w:t>cy</w:t>
            </w:r>
          </w:p>
        </w:tc>
        <w:tc>
          <w:tcPr>
            <w:tcW w:w="838"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oMath>
            </m:oMathPara>
          </w:p>
        </w:tc>
        <w:tc>
          <w:tcPr>
            <w:tcW w:w="1979"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r>
                  <m:rPr>
                    <m:sty m:val="bi"/>
                  </m:rPr>
                  <w:rPr>
                    <w:rFonts w:ascii="Cambria Math" w:eastAsia="Times New Roman" w:hAnsi="Cambria Math"/>
                    <w:noProof/>
                    <w:color w:val="000000"/>
                    <w:sz w:val="20"/>
                    <w:szCs w:val="20"/>
                  </w:rPr>
                  <m:t>FiXi</m:t>
                </m:r>
              </m:oMath>
            </m:oMathPara>
          </w:p>
        </w:tc>
        <w:tc>
          <w:tcPr>
            <w:tcW w:w="2337"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oMath>
            </m:oMathPara>
          </w:p>
        </w:tc>
      </w:tr>
      <w:tr w:rsidR="00894545" w:rsidRPr="00430EF7" w:rsidTr="000263CB">
        <w:trPr>
          <w:trHeight w:val="214"/>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58—62</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60</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3</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3600</w:t>
            </w:r>
          </w:p>
        </w:tc>
        <w:tc>
          <w:tcPr>
            <w:tcW w:w="1979"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180</w:t>
            </w:r>
          </w:p>
        </w:tc>
        <w:tc>
          <w:tcPr>
            <w:tcW w:w="2337"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10800</w:t>
            </w:r>
          </w:p>
        </w:tc>
      </w:tr>
      <w:tr w:rsidR="00894545" w:rsidRPr="00430EF7" w:rsidTr="000263CB">
        <w:trPr>
          <w:trHeight w:val="315"/>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63—67</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65</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5</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4225</w:t>
            </w:r>
          </w:p>
        </w:tc>
        <w:tc>
          <w:tcPr>
            <w:tcW w:w="1979"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325</w:t>
            </w:r>
          </w:p>
        </w:tc>
        <w:tc>
          <w:tcPr>
            <w:tcW w:w="2337"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21125</w:t>
            </w:r>
          </w:p>
        </w:tc>
      </w:tr>
      <w:tr w:rsidR="00894545" w:rsidRPr="00430EF7" w:rsidTr="000263CB">
        <w:trPr>
          <w:trHeight w:val="315"/>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68—72</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70</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5</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4900</w:t>
            </w:r>
          </w:p>
        </w:tc>
        <w:tc>
          <w:tcPr>
            <w:tcW w:w="1979"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350</w:t>
            </w:r>
          </w:p>
        </w:tc>
        <w:tc>
          <w:tcPr>
            <w:tcW w:w="2337"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24500</w:t>
            </w:r>
          </w:p>
        </w:tc>
      </w:tr>
      <w:tr w:rsidR="00894545" w:rsidRPr="00430EF7" w:rsidTr="000263CB">
        <w:trPr>
          <w:trHeight w:val="315"/>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73—77</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75</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0</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5625</w:t>
            </w:r>
          </w:p>
        </w:tc>
        <w:tc>
          <w:tcPr>
            <w:tcW w:w="1979"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0</w:t>
            </w:r>
          </w:p>
        </w:tc>
        <w:tc>
          <w:tcPr>
            <w:tcW w:w="2337"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0</w:t>
            </w:r>
          </w:p>
        </w:tc>
      </w:tr>
      <w:tr w:rsidR="00894545" w:rsidRPr="00430EF7" w:rsidTr="000263CB">
        <w:trPr>
          <w:trHeight w:val="315"/>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78—82</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80</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6400</w:t>
            </w:r>
          </w:p>
        </w:tc>
        <w:tc>
          <w:tcPr>
            <w:tcW w:w="1979"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640</w:t>
            </w:r>
          </w:p>
        </w:tc>
        <w:tc>
          <w:tcPr>
            <w:tcW w:w="2337" w:type="dxa"/>
            <w:shd w:val="clear" w:color="auto" w:fill="auto"/>
            <w:noWrap/>
            <w:vAlign w:val="bottom"/>
            <w:hideMark/>
          </w:tcPr>
          <w:p w:rsidR="00894545" w:rsidRPr="00430EF7" w:rsidRDefault="00894545" w:rsidP="000263CB">
            <w:pPr>
              <w:spacing w:after="0" w:line="240" w:lineRule="auto"/>
              <w:rPr>
                <w:rFonts w:ascii="Times New Roman" w:hAnsi="Times New Roman"/>
                <w:noProof/>
                <w:color w:val="000000"/>
                <w:sz w:val="20"/>
                <w:szCs w:val="20"/>
              </w:rPr>
            </w:pPr>
            <w:r w:rsidRPr="00430EF7">
              <w:rPr>
                <w:rFonts w:ascii="Times New Roman" w:hAnsi="Times New Roman"/>
                <w:noProof/>
                <w:color w:val="000000"/>
                <w:sz w:val="20"/>
                <w:szCs w:val="20"/>
              </w:rPr>
              <w:t xml:space="preserve">                        51200</w:t>
            </w:r>
          </w:p>
        </w:tc>
      </w:tr>
      <w:tr w:rsidR="00894545" w:rsidRPr="00430EF7" w:rsidTr="000263CB">
        <w:trPr>
          <w:trHeight w:val="315"/>
        </w:trPr>
        <w:tc>
          <w:tcPr>
            <w:tcW w:w="89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83—88</w:t>
            </w:r>
          </w:p>
        </w:tc>
        <w:tc>
          <w:tcPr>
            <w:tcW w:w="125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85,5</w:t>
            </w:r>
          </w:p>
        </w:tc>
        <w:tc>
          <w:tcPr>
            <w:tcW w:w="11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9</w:t>
            </w:r>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7310,25</w:t>
            </w:r>
          </w:p>
        </w:tc>
        <w:tc>
          <w:tcPr>
            <w:tcW w:w="1979"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769,5</w:t>
            </w:r>
          </w:p>
        </w:tc>
        <w:tc>
          <w:tcPr>
            <w:tcW w:w="2337"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65792,25</w:t>
            </w:r>
          </w:p>
        </w:tc>
      </w:tr>
      <w:tr w:rsidR="00894545" w:rsidRPr="00430EF7" w:rsidTr="000263CB">
        <w:trPr>
          <w:trHeight w:val="70"/>
        </w:trPr>
        <w:tc>
          <w:tcPr>
            <w:tcW w:w="2157" w:type="dxa"/>
            <w:gridSpan w:val="2"/>
            <w:shd w:val="clear" w:color="auto" w:fill="auto"/>
            <w:noWrap/>
            <w:vAlign w:val="center"/>
            <w:hideMark/>
          </w:tcPr>
          <w:p w:rsidR="00894545" w:rsidRPr="002016CC" w:rsidRDefault="002016CC" w:rsidP="000263CB">
            <w:pPr>
              <w:spacing w:after="0" w:line="240" w:lineRule="auto"/>
              <w:jc w:val="center"/>
              <w:rPr>
                <w:rFonts w:ascii="Times New Roman" w:eastAsia="Times New Roman" w:hAnsi="Times New Roman"/>
                <w:b/>
                <w:noProof/>
                <w:color w:val="000000"/>
                <w:sz w:val="20"/>
                <w:szCs w:val="20"/>
                <w:lang w:val="en-US"/>
              </w:rPr>
            </w:pPr>
            <w:r>
              <w:rPr>
                <w:rFonts w:ascii="Times New Roman" w:eastAsia="Times New Roman" w:hAnsi="Times New Roman"/>
                <w:b/>
                <w:noProof/>
                <w:color w:val="000000"/>
                <w:sz w:val="20"/>
                <w:szCs w:val="20"/>
                <w:lang w:val="en-US"/>
              </w:rPr>
              <w:t>Total</w:t>
            </w:r>
          </w:p>
        </w:tc>
        <w:tc>
          <w:tcPr>
            <w:tcW w:w="1145"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r>
                      <m:rPr>
                        <m:sty m:val="bi"/>
                      </m:rPr>
                      <w:rPr>
                        <w:rFonts w:ascii="Cambria Math" w:eastAsia="Times New Roman" w:hAnsi="Cambria Math"/>
                        <w:noProof/>
                        <w:color w:val="000000"/>
                        <w:sz w:val="20"/>
                        <w:szCs w:val="20"/>
                      </w:rPr>
                      <m:t>F</m:t>
                    </m:r>
                  </m:e>
                </m:nary>
                <m:r>
                  <m:rPr>
                    <m:sty m:val="bi"/>
                  </m:rPr>
                  <w:rPr>
                    <w:rFonts w:ascii="Cambria Math" w:eastAsia="Times New Roman" w:hAnsi="Cambria Math"/>
                    <w:noProof/>
                    <w:color w:val="000000"/>
                    <w:sz w:val="20"/>
                    <w:szCs w:val="20"/>
                  </w:rPr>
                  <m:t>=30</m:t>
                </m:r>
              </m:oMath>
            </m:oMathPara>
          </w:p>
        </w:tc>
        <w:tc>
          <w:tcPr>
            <w:tcW w:w="838"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b/>
                <w:noProof/>
                <w:color w:val="000000"/>
                <w:sz w:val="20"/>
                <w:szCs w:val="20"/>
              </w:rPr>
            </w:pPr>
          </w:p>
        </w:tc>
        <w:tc>
          <w:tcPr>
            <w:tcW w:w="1979"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r>
                      <m:rPr>
                        <m:sty m:val="bi"/>
                      </m:rPr>
                      <w:rPr>
                        <w:rFonts w:ascii="Cambria Math" w:eastAsia="Times New Roman" w:hAnsi="Cambria Math"/>
                        <w:noProof/>
                        <w:color w:val="000000"/>
                        <w:sz w:val="20"/>
                        <w:szCs w:val="20"/>
                      </w:rPr>
                      <m:t>=2264,5</m:t>
                    </m:r>
                  </m:e>
                </m:nary>
              </m:oMath>
            </m:oMathPara>
          </w:p>
        </w:tc>
        <w:tc>
          <w:tcPr>
            <w:tcW w:w="2337"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r>
                      <m:rPr>
                        <m:sty m:val="bi"/>
                      </m:rPr>
                      <w:rPr>
                        <w:rFonts w:ascii="Cambria Math" w:eastAsia="Times New Roman" w:hAnsi="Cambria Math"/>
                        <w:noProof/>
                        <w:color w:val="000000"/>
                        <w:sz w:val="20"/>
                        <w:szCs w:val="20"/>
                      </w:rPr>
                      <m:t>=173417,25</m:t>
                    </m:r>
                  </m:e>
                </m:nary>
              </m:oMath>
            </m:oMathPara>
          </w:p>
        </w:tc>
      </w:tr>
    </w:tbl>
    <w:p w:rsidR="00894545" w:rsidRPr="00430EF7" w:rsidRDefault="00894545" w:rsidP="00894545">
      <w:pPr>
        <w:pStyle w:val="ListParagraph"/>
        <w:spacing w:after="0" w:line="240" w:lineRule="auto"/>
        <w:ind w:left="0" w:firstLine="709"/>
        <w:jc w:val="both"/>
        <w:rPr>
          <w:rFonts w:ascii="Times New Roman" w:hAnsi="Times New Roman"/>
          <w:noProof/>
          <w:sz w:val="24"/>
          <w:lang w:val="id-ID"/>
        </w:rPr>
      </w:pPr>
    </w:p>
    <w:p w:rsidR="00894545" w:rsidRPr="00430EF7" w:rsidRDefault="002E4F85" w:rsidP="00894545">
      <w:pPr>
        <w:pStyle w:val="ListParagraph"/>
        <w:spacing w:after="0" w:line="240" w:lineRule="auto"/>
        <w:ind w:left="0" w:firstLine="709"/>
        <w:jc w:val="both"/>
        <w:rPr>
          <w:rFonts w:ascii="Times New Roman" w:hAnsi="Times New Roman"/>
          <w:noProof/>
          <w:sz w:val="24"/>
          <w:lang w:val="id-ID"/>
        </w:rPr>
      </w:pPr>
      <w:r w:rsidRPr="002E4F85">
        <w:rPr>
          <w:rFonts w:ascii="Times New Roman" w:hAnsi="Times New Roman"/>
          <w:noProof/>
          <w:sz w:val="24"/>
          <w:lang w:val="id-ID"/>
        </w:rPr>
        <w:lastRenderedPageBreak/>
        <w:t>The frequency distribution of student learning outcomes data with the STAD model is visualized in Figure 1 below.</w:t>
      </w:r>
    </w:p>
    <w:p w:rsidR="00894545" w:rsidRPr="00430EF7" w:rsidRDefault="00894545" w:rsidP="00894545">
      <w:pPr>
        <w:pStyle w:val="ListParagraph"/>
        <w:spacing w:after="0" w:line="240" w:lineRule="auto"/>
        <w:ind w:left="0" w:firstLine="709"/>
        <w:jc w:val="both"/>
        <w:rPr>
          <w:rFonts w:ascii="Times New Roman" w:hAnsi="Times New Roman"/>
          <w:noProof/>
          <w:sz w:val="24"/>
          <w:lang w:val="id-ID"/>
        </w:rPr>
      </w:pPr>
    </w:p>
    <w:p w:rsidR="007D0D8F" w:rsidRDefault="00894545" w:rsidP="007D0D8F">
      <w:pPr>
        <w:pStyle w:val="ListParagraph"/>
        <w:spacing w:after="0" w:line="240" w:lineRule="auto"/>
        <w:ind w:left="0"/>
        <w:jc w:val="center"/>
        <w:rPr>
          <w:rFonts w:ascii="Times New Roman" w:hAnsi="Times New Roman"/>
          <w:noProof/>
          <w:sz w:val="24"/>
          <w:lang w:val="en-US"/>
        </w:rPr>
      </w:pPr>
      <w:r>
        <w:rPr>
          <w:rFonts w:ascii="Times New Roman" w:hAnsi="Times New Roman"/>
          <w:noProof/>
          <w:sz w:val="24"/>
          <w:lang w:val="en-US" w:eastAsia="en-US"/>
        </w:rPr>
        <w:drawing>
          <wp:inline distT="0" distB="0" distL="0" distR="0">
            <wp:extent cx="3474720" cy="1916582"/>
            <wp:effectExtent l="19050" t="0" r="11430" b="7468"/>
            <wp:docPr id="19"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D0D8F" w:rsidRPr="007D0D8F" w:rsidRDefault="007D0D8F" w:rsidP="007D0D8F">
      <w:pPr>
        <w:pStyle w:val="ListParagraph"/>
        <w:spacing w:after="0" w:line="240" w:lineRule="auto"/>
        <w:ind w:left="0"/>
        <w:jc w:val="center"/>
        <w:rPr>
          <w:rFonts w:ascii="Times New Roman" w:hAnsi="Times New Roman"/>
          <w:noProof/>
          <w:sz w:val="24"/>
          <w:lang w:val="en-US"/>
        </w:rPr>
      </w:pPr>
    </w:p>
    <w:p w:rsidR="007D0D8F" w:rsidRPr="007D0D8F" w:rsidRDefault="007D0D8F" w:rsidP="007D0D8F">
      <w:pPr>
        <w:pStyle w:val="BodytextMaJER"/>
        <w:ind w:firstLine="720"/>
        <w:rPr>
          <w:rFonts w:eastAsia="Calibri"/>
          <w:b/>
          <w:noProof/>
          <w:snapToGrid/>
          <w:sz w:val="20"/>
          <w:szCs w:val="22"/>
          <w:lang w:val="en-US"/>
        </w:rPr>
      </w:pPr>
      <w:r w:rsidRPr="007D0D8F">
        <w:rPr>
          <w:rFonts w:eastAsia="Calibri"/>
          <w:b/>
          <w:noProof/>
          <w:snapToGrid/>
          <w:sz w:val="20"/>
          <w:szCs w:val="22"/>
          <w:lang w:val="id-ID"/>
        </w:rPr>
        <w:t>Figure 1. Diagram of the Results of Understanding Poetry using the STAD Model</w:t>
      </w:r>
    </w:p>
    <w:p w:rsidR="007D0D8F" w:rsidRDefault="007D0D8F" w:rsidP="00894545">
      <w:pPr>
        <w:pStyle w:val="BodytextMaJER"/>
        <w:ind w:firstLine="720"/>
        <w:rPr>
          <w:noProof/>
          <w:lang w:val="en-US"/>
        </w:rPr>
      </w:pPr>
    </w:p>
    <w:p w:rsidR="00894545" w:rsidRPr="00430EF7" w:rsidRDefault="007D0D8F" w:rsidP="00894545">
      <w:pPr>
        <w:pStyle w:val="BodytextMaJER"/>
        <w:ind w:firstLine="720"/>
        <w:rPr>
          <w:noProof/>
          <w:lang w:val="id-ID"/>
        </w:rPr>
      </w:pPr>
      <w:r w:rsidRPr="007D0D8F">
        <w:rPr>
          <w:noProof/>
          <w:lang w:val="id-ID"/>
        </w:rPr>
        <w:t>Student learning outcomes before and after using the STAD model have increased significantly. Before using the STAD model, student learning outcomes ranged from 30-50. After using the STAD model, student learning outcomes increased between 58-88 with a mean of 75.48. These results also indicate that STAD has been able to become a learning model capable of having an influence on poetry learning. This result is also inseparable from the role of the teacher in implementing each stage of the STAD model effectively. The STAD model that is implemented effectively can increase student involvement in classroom learning because they have to show their best performance in the group to become the best team</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{"citationItems":[{"id":"ITEM-1","itemData":{"author":[{"dropping-particle":"","family":"Nurhuda","given":"","non-dropping-particle":"","parse-names":false,"suffix":""}],"container-title":"Journal of English Education Literature","id":"ITEM-1","issue":"2","issued":{"date-parts":[["2020"]]},"page":"68-75","title":"Improving Students’ Engagement in Reading Class By Using Student Teams-Achievement Division (STAD)","type":"article-journal","volume":"1"},"uris":["http://www.mendeley.com/documents/?uuid=7329076d-21a2-4ca1-b789-e6b1131563dc"]}],"mendeley":{"formattedCitation":"(Nurhuda, 2020)","plainTextFormattedCitation":"(Nurhuda, 2020)","previouslyFormattedCitation":"(Nurhuda, 2020)"},"properties":{"noteIndex":0},"schema":"https://github.com/citation-style-language/schema/raw/master/csl-citation.json"}</w:instrText>
      </w:r>
      <w:r w:rsidR="00894545" w:rsidRPr="00430EF7">
        <w:rPr>
          <w:noProof/>
          <w:lang w:val="id-ID"/>
        </w:rPr>
        <w:fldChar w:fldCharType="separate"/>
      </w:r>
      <w:r w:rsidR="00894545" w:rsidRPr="00430EF7">
        <w:rPr>
          <w:noProof/>
          <w:lang w:val="id-ID"/>
        </w:rPr>
        <w:t>(Nurhuda, 2020)</w:t>
      </w:r>
      <w:r w:rsidR="00894545" w:rsidRPr="00430EF7">
        <w:rPr>
          <w:noProof/>
          <w:lang w:val="id-ID"/>
        </w:rPr>
        <w:fldChar w:fldCharType="end"/>
      </w:r>
      <w:r w:rsidR="00894545" w:rsidRPr="00430EF7">
        <w:rPr>
          <w:noProof/>
          <w:lang w:val="id-ID"/>
        </w:rPr>
        <w:t xml:space="preserve">. </w:t>
      </w:r>
      <w:r w:rsidR="00187DC5" w:rsidRPr="00187DC5">
        <w:rPr>
          <w:noProof/>
          <w:lang w:val="id-ID"/>
        </w:rPr>
        <w:t>In study groups, students who have high abilities must help students who have low abilities to understand learning together. The ability of each group must be evenly distributed in order to be the best team. Each group member must be actively involved in group activities and class discussions. Groups that are able to show good cooperation in completing each stage of learning poetry will get good scores. Moreover, each group must be able to collect the highest points to be able to get the award provided by the teacher. This is consistent with the characteristic STAD model which utilizes rewards or incentives to encourage and enhance team collaboration</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{"citationItems":[{"id":"ITEM-1","itemData":{"DOI":"10.1088/1742-6596/1254/1/012014","ISSN":"17426596","abstract":"Student-Team Achievement Division (STAD) is one of the cooperative learning structures that make use of rewards or incentives to promote team collaboration. This study finds out the effects of STAD on the academic performance of Grade 8 students in physics in a public school. There were two groups in this study: the experimental group and the control group. The exp erimental group utilized STAD while the control group employed the Inquiry-Based Approach. Each group has thirty-two (32) respondents. The instrument of the study was a researcher-made achievement test. This study lasted for six (6) weeks which covers the entire first quarter of Science 8. This research made use of the true experimental design. The comparability of the experiment was tested using t-test. The result showed that there is no significant difference in the posttest mean scores between the experimental and control groups. However, students exposed to STAD posted higher gain scores compared to the students exposed to the Inquiry-Based Approach. Based on the findings of the study, the use of STAD has improved the students' academic performance through cooperation with their groupmates.","author":[{"dropping-particle":"","family":"Lantajo","given":"Justina T.","non-dropping-particle":"","parse-names":false,"suffix":""},{"dropping-particle":"","family":"Tipolo","given":"Roderick L.","non-dropping-particle":"","parse-names":false,"suffix":""}],"container-title":"Journal of Physics: Conference Series","id":"ITEM-1","issue":"1","issued":{"date-parts":[["2019"]]},"page":"0-6","title":"Student-Team Achievement Division (STAD) and Its Effect on the Academic Performance of Grade 8 Students","type":"article-journal","volume":"1254"},"uris":["http://www.mendeley.com/documents/?uuid=d15eddcf-6e55-4032-8ea5-de80f4466a55"]}],"mendeley":{"formattedCitation":"(Lantajo &amp; Tipolo, 2019)","plainTextFormattedCitation":"(Lantajo &amp; Tipolo, 2019)","previouslyFormattedCitation":"(Lantajo &amp; Tipolo, 2019)"},"properties":{"noteIndex":0},"schema":"https://github.com/citation-style-language/schema/raw/master/csl-citation.json"}</w:instrText>
      </w:r>
      <w:r w:rsidR="00894545" w:rsidRPr="00430EF7">
        <w:rPr>
          <w:noProof/>
          <w:lang w:val="id-ID"/>
        </w:rPr>
        <w:fldChar w:fldCharType="separate"/>
      </w:r>
      <w:r w:rsidR="00894545" w:rsidRPr="00430EF7">
        <w:rPr>
          <w:noProof/>
          <w:lang w:val="id-ID"/>
        </w:rPr>
        <w:t>(Lantajo &amp; Tipolo, 2019)</w:t>
      </w:r>
      <w:r w:rsidR="00894545" w:rsidRPr="00430EF7">
        <w:rPr>
          <w:noProof/>
          <w:lang w:val="id-ID"/>
        </w:rPr>
        <w:fldChar w:fldCharType="end"/>
      </w:r>
      <w:r w:rsidR="00894545" w:rsidRPr="00430EF7">
        <w:rPr>
          <w:noProof/>
          <w:lang w:val="id-ID"/>
        </w:rPr>
        <w:t xml:space="preserve">. </w:t>
      </w:r>
      <w:r w:rsidR="00187DC5" w:rsidRPr="00187DC5">
        <w:rPr>
          <w:noProof/>
          <w:lang w:val="id-ID"/>
        </w:rPr>
        <w:t>Therefore, teachers who use the STAD model in learning will greatly help students increase motivation, cooperation, help each other, and ask questions in groups.</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{"citationItems":[{"id":"ITEM-1","itemData":{"DOI":"10.24042/ijsme.v3i1.5960","abstract":"High motivation to learn will encourage and move students to always move and achieve the best results. The purpose of this study was to see an increase in student motivation through the cooperative learning model Student Teams Achievement Divisions (STAD) type. The method used in this study is the Classroom Action Research (CAR) method. The population in this study were all students of class XII Science in SMA 2 Bandar Lampung. Sampling is done by simple random sampling technique. The sample in this study was 38 people. The analysis technique uses an independent sample t-test. The results showed that the implementation of the Student Teams Achievement Division (STAD) type of cooperative learning model on the principles of redox and electrochemical reactions were used to test student learning. The results of this study also discussed increasing students' motivation to learn including motivation to cooperate with each other, discuss, help each other, and ask questions","author":[{"dropping-particle":"","family":"Erly","given":"Erly","non-dropping-particle":"","parse-names":false,"suffix":""}],"container-title":"Indonesian Journal of Science and Mathematics Education","id":"ITEM-1","issue":"1","issued":{"date-parts":[["2020"]]},"page":"1-8","title":"Cooperatve Learning Mpdel Student Team Achievement Division (STAD) Type: The Impact of Student's Learning Motivatio","type":"article-journal","volume":"3"},"uris":["http://www.mendeley.com/documents/?uuid=8d55b3ba-fa3f-4e1a-b09d-2960bef7863b"]}],"mendeley":{"formattedCitation":"(Erly, 2020)","plainTextFormattedCitation":"(Erly, 2020)","previouslyFormattedCitation":"(Erly, 2020)"},"properties":{"noteIndex":0},"schema":"https://github.com/citation-style-language/schema/raw/master/csl-citation.json"}</w:instrText>
      </w:r>
      <w:r w:rsidR="00894545" w:rsidRPr="00430EF7">
        <w:rPr>
          <w:noProof/>
          <w:lang w:val="id-ID"/>
        </w:rPr>
        <w:fldChar w:fldCharType="separate"/>
      </w:r>
      <w:r w:rsidR="00894545" w:rsidRPr="00430EF7">
        <w:rPr>
          <w:noProof/>
          <w:lang w:val="id-ID"/>
        </w:rPr>
        <w:t>(Erly, 2020)</w:t>
      </w:r>
      <w:r w:rsidR="00894545" w:rsidRPr="00430EF7">
        <w:rPr>
          <w:noProof/>
          <w:lang w:val="id-ID"/>
        </w:rPr>
        <w:fldChar w:fldCharType="end"/>
      </w:r>
      <w:r w:rsidR="00894545" w:rsidRPr="00430EF7">
        <w:rPr>
          <w:noProof/>
          <w:lang w:val="id-ID"/>
        </w:rPr>
        <w:t xml:space="preserve">. </w:t>
      </w:r>
      <w:r w:rsidR="00187DC5" w:rsidRPr="00187DC5">
        <w:rPr>
          <w:noProof/>
          <w:lang w:val="id-ID"/>
        </w:rPr>
        <w:t>In addition, this model is also referred to as a student-centered learning model so that each stage of learning can motivate students to understand learning, train the ability to express opinions, discipline, and increase responsibility for themselves and groups.</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{"citationItems":[{"id":"ITEM-1","itemData":{"DOI":"10.23887/ijee.v4i3.25917","ISSN":"2579-7158","abstract":"The low student learning outcomes of Science competencies are experienced by many students. The causes of the decline in science learning outcomes are the teacher's love for one learning method and the use of inadequate learning models so that students find it difficult to understand learning, lack of communication and participation between students which causes students to be less courageous in asking and arguing so learning is not optimal, students still lacking discipline during learning takes place. Based on the description, the purpose of this study is to determine the significant effect of the STAD Cooperative Model on Science Learning Outcomes. This study uses the design of a non-equivalent post-test only control group design with an intact group random sampling technique. The total population of this study was 95 students and the total sample in this study amounted to 49 students. The method used is a test with multiple-choice instruments totaling 20 items. The data obtained were analyzed using descriptive statistical analysis and inferential analysis with data distribution normality test, variant homogeneity test (F-Test), and hypothesis testing (t-test) using the pooled variance formula. The results of data analysis using the t-test obtained by t-count 2.540 while the table with db = 47 of 2.067 with a significance level of 5%. The results showed that there was a significant influence on the learning outcomes of science groups of students who were taught with the STAD type cooperative model with groups of students who were not taught with the STAD type cooperative model. The STAD type cooperative model makes students the center of learning through the application of the STAD type cooperative model students are motivated to compete in understanding lessons, train women in expressing opinions, discipline and take responsibility for themselves and the group.","author":[{"dropping-particle":"","family":"Dewi","given":"Luh Monik Septiani","non-dropping-particle":"","parse-names":false,"suffix":""},{"dropping-particle":"","family":"Wibawa","given":"I Made Citra","non-dropping-particle":"","parse-names":false,"suffix":""},{"dropping-particle":"","family":"Agustiana","given":"Gusti Ayu Tri","non-dropping-particle":"","parse-names":false,"suffix":""}],"container-title":"International Journal of Elementary Education","id":"ITEM-1","issue":"3","issued":{"date-parts":[["2020"]]},"page":"329","title":"Improving Science Learning Outcomes Through Student Team Achievement Division (STAD)","type":"article-journal","volume":"4"},"uris":["http://www.mendeley.com/documents/?uuid=23c8115d-0cb1-40e0-b808-c12938e1b68f"]}],"mendeley":{"formattedCitation":"(Dewi, Wibawa, &amp; Agustiana, 2020)","plainTextFormattedCitation":"(Dewi, Wibawa, &amp; Agustiana, 2020)","previouslyFormattedCitation":"(Dewi, Wibawa, &amp; Agustiana, 2020)"},"properties":{"noteIndex":0},"schema":"https://github.com/citation-style-language/schema/raw/master/csl-citation.json"}</w:instrText>
      </w:r>
      <w:r w:rsidR="00894545" w:rsidRPr="00430EF7">
        <w:rPr>
          <w:noProof/>
          <w:lang w:val="id-ID"/>
        </w:rPr>
        <w:fldChar w:fldCharType="separate"/>
      </w:r>
      <w:r w:rsidR="00894545" w:rsidRPr="00430EF7">
        <w:rPr>
          <w:noProof/>
          <w:lang w:val="id-ID"/>
        </w:rPr>
        <w:t>(Dewi, Wibawa, &amp; Agustiana, 2020)</w:t>
      </w:r>
      <w:r w:rsidR="00894545" w:rsidRPr="00430EF7">
        <w:rPr>
          <w:noProof/>
          <w:lang w:val="id-ID"/>
        </w:rPr>
        <w:fldChar w:fldCharType="end"/>
      </w:r>
      <w:r w:rsidR="00894545" w:rsidRPr="00430EF7">
        <w:rPr>
          <w:noProof/>
          <w:lang w:val="id-ID"/>
        </w:rPr>
        <w:t xml:space="preserve">. </w:t>
      </w:r>
    </w:p>
    <w:p w:rsidR="00894545" w:rsidRPr="00430EF7" w:rsidRDefault="00894545" w:rsidP="00894545">
      <w:pPr>
        <w:pStyle w:val="BodytextMaJER"/>
        <w:ind w:firstLine="720"/>
        <w:rPr>
          <w:noProof/>
          <w:lang w:val="id-ID"/>
        </w:rPr>
      </w:pPr>
    </w:p>
    <w:p w:rsidR="00894545" w:rsidRPr="00430EF7" w:rsidRDefault="00187DC5" w:rsidP="00894545">
      <w:pPr>
        <w:pStyle w:val="BodytextMaJER"/>
        <w:rPr>
          <w:b/>
          <w:i/>
          <w:noProof/>
          <w:lang w:val="id-ID"/>
        </w:rPr>
      </w:pPr>
      <w:r w:rsidRPr="002016CC">
        <w:rPr>
          <w:b/>
          <w:i/>
          <w:noProof/>
          <w:lang w:val="id-ID"/>
        </w:rPr>
        <w:t>Poetry Lea</w:t>
      </w:r>
      <w:r>
        <w:rPr>
          <w:b/>
          <w:i/>
          <w:noProof/>
          <w:lang w:val="id-ID"/>
        </w:rPr>
        <w:t xml:space="preserve">rning Outcomes with the </w:t>
      </w:r>
      <w:r>
        <w:rPr>
          <w:b/>
          <w:i/>
          <w:noProof/>
          <w:lang w:val="en-US"/>
        </w:rPr>
        <w:t>CIRC</w:t>
      </w:r>
      <w:r w:rsidRPr="002016CC">
        <w:rPr>
          <w:b/>
          <w:i/>
          <w:noProof/>
          <w:lang w:val="id-ID"/>
        </w:rPr>
        <w:t xml:space="preserve"> Model</w:t>
      </w:r>
    </w:p>
    <w:p w:rsidR="00894545" w:rsidRPr="00430EF7" w:rsidRDefault="00187DC5" w:rsidP="00894545">
      <w:pPr>
        <w:pStyle w:val="BodytextMaJER"/>
        <w:ind w:firstLine="720"/>
        <w:rPr>
          <w:noProof/>
          <w:lang w:val="id-ID"/>
        </w:rPr>
      </w:pPr>
      <w:r w:rsidRPr="00187DC5">
        <w:rPr>
          <w:noProof/>
          <w:lang w:val="id-ID"/>
        </w:rPr>
        <w:t>Based on data analysis on learning outcomes to understand poetry with the CIRC model, information was obtained, namely: the highest score was 92.00; the lowest value is 54.00; mean 73.50; standard deviation 12.37; mode 86.88; and median 93.16. The frequency distribution of these results is visualized in Table 3 below.</w:t>
      </w:r>
    </w:p>
    <w:p w:rsidR="00894545" w:rsidRDefault="00894545" w:rsidP="00894545">
      <w:pPr>
        <w:pStyle w:val="BodytextMaJER"/>
        <w:ind w:firstLine="720"/>
        <w:rPr>
          <w:noProof/>
          <w:lang w:val="en-US"/>
        </w:rPr>
      </w:pPr>
    </w:p>
    <w:p w:rsidR="00187DC5" w:rsidRDefault="00187DC5" w:rsidP="00894545">
      <w:pPr>
        <w:pStyle w:val="BodytextMaJER"/>
        <w:ind w:firstLine="720"/>
        <w:rPr>
          <w:noProof/>
          <w:lang w:val="en-US"/>
        </w:rPr>
      </w:pPr>
    </w:p>
    <w:p w:rsidR="00187DC5" w:rsidRPr="00187DC5" w:rsidRDefault="00187DC5" w:rsidP="00894545">
      <w:pPr>
        <w:pStyle w:val="BodytextMaJER"/>
        <w:ind w:firstLine="720"/>
        <w:rPr>
          <w:noProof/>
          <w:lang w:val="en-US"/>
        </w:rPr>
      </w:pPr>
    </w:p>
    <w:p w:rsidR="00894545" w:rsidRPr="0054104A" w:rsidRDefault="0054104A" w:rsidP="0054104A">
      <w:pPr>
        <w:pStyle w:val="ListParagraph"/>
        <w:spacing w:after="0" w:line="360" w:lineRule="auto"/>
        <w:ind w:left="0"/>
        <w:jc w:val="center"/>
        <w:rPr>
          <w:rFonts w:ascii="Times New Roman" w:hAnsi="Times New Roman"/>
          <w:b/>
          <w:noProof/>
          <w:sz w:val="20"/>
          <w:szCs w:val="20"/>
          <w:lang w:val="en-US"/>
        </w:rPr>
      </w:pPr>
      <w:r>
        <w:rPr>
          <w:rFonts w:ascii="Times New Roman" w:hAnsi="Times New Roman"/>
          <w:b/>
          <w:noProof/>
          <w:sz w:val="20"/>
          <w:szCs w:val="20"/>
          <w:lang w:val="id-ID"/>
        </w:rPr>
        <w:lastRenderedPageBreak/>
        <w:t xml:space="preserve">Table </w:t>
      </w:r>
      <w:r>
        <w:rPr>
          <w:rFonts w:ascii="Times New Roman" w:hAnsi="Times New Roman"/>
          <w:b/>
          <w:noProof/>
          <w:sz w:val="20"/>
          <w:szCs w:val="20"/>
          <w:lang w:val="en-US"/>
        </w:rPr>
        <w:t>3</w:t>
      </w:r>
      <w:r w:rsidRPr="002016CC">
        <w:rPr>
          <w:rFonts w:ascii="Times New Roman" w:hAnsi="Times New Roman"/>
          <w:b/>
          <w:noProof/>
          <w:sz w:val="20"/>
          <w:szCs w:val="20"/>
          <w:lang w:val="id-ID"/>
        </w:rPr>
        <w:t>. Data Frequency Distribution of Learning Outcomes in Experiment Class I</w:t>
      </w:r>
      <w:r>
        <w:rPr>
          <w:rFonts w:ascii="Times New Roman" w:hAnsi="Times New Roman"/>
          <w:b/>
          <w:noProof/>
          <w:sz w:val="20"/>
          <w:szCs w:val="20"/>
          <w:lang w:val="en-US"/>
        </w:rPr>
        <w:t>I</w:t>
      </w:r>
    </w:p>
    <w:tbl>
      <w:tblPr>
        <w:tblW w:w="8553" w:type="dxa"/>
        <w:tblInd w:w="108" w:type="dxa"/>
        <w:tblBorders>
          <w:top w:val="single" w:sz="4" w:space="0" w:color="auto"/>
          <w:bottom w:val="single" w:sz="4" w:space="0" w:color="auto"/>
          <w:insideH w:val="single" w:sz="4" w:space="0" w:color="auto"/>
        </w:tblBorders>
        <w:tblLook w:val="04A0"/>
      </w:tblPr>
      <w:tblGrid>
        <w:gridCol w:w="993"/>
        <w:gridCol w:w="1545"/>
        <w:gridCol w:w="1324"/>
        <w:gridCol w:w="992"/>
        <w:gridCol w:w="1716"/>
        <w:gridCol w:w="1983"/>
      </w:tblGrid>
      <w:tr w:rsidR="00894545" w:rsidRPr="00430EF7" w:rsidTr="000263CB">
        <w:trPr>
          <w:trHeight w:val="145"/>
        </w:trPr>
        <w:tc>
          <w:tcPr>
            <w:tcW w:w="993" w:type="dxa"/>
            <w:shd w:val="clear" w:color="auto" w:fill="auto"/>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w:r w:rsidRPr="00430EF7">
              <w:rPr>
                <w:rFonts w:ascii="Times New Roman" w:eastAsia="Times New Roman" w:hAnsi="Times New Roman"/>
                <w:b/>
                <w:noProof/>
                <w:color w:val="000000"/>
                <w:sz w:val="20"/>
                <w:szCs w:val="20"/>
              </w:rPr>
              <w:t>Data</w:t>
            </w:r>
          </w:p>
        </w:tc>
        <w:tc>
          <w:tcPr>
            <w:tcW w:w="1545" w:type="dxa"/>
            <w:shd w:val="clear" w:color="auto" w:fill="auto"/>
            <w:noWrap/>
            <w:vAlign w:val="center"/>
            <w:hideMark/>
          </w:tcPr>
          <w:p w:rsidR="00894545" w:rsidRPr="00430EF7" w:rsidRDefault="0054104A" w:rsidP="000263CB">
            <w:pPr>
              <w:spacing w:after="0" w:line="240" w:lineRule="auto"/>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lang w:val="en-US"/>
              </w:rPr>
              <w:t>Mean</w:t>
            </w:r>
            <w:r w:rsidR="00894545" w:rsidRPr="00430EF7">
              <w:rPr>
                <w:rFonts w:ascii="Times New Roman" w:eastAsia="Times New Roman" w:hAnsi="Times New Roman"/>
                <w:b/>
                <w:noProof/>
                <w:color w:val="000000"/>
                <w:sz w:val="20"/>
                <w:szCs w:val="20"/>
              </w:rPr>
              <w:t xml:space="preserve"> (</w:t>
            </w:r>
            <m:oMath>
              <m:acc>
                <m:accPr>
                  <m:ctrlPr>
                    <w:rPr>
                      <w:rFonts w:ascii="Cambria Math" w:eastAsia="Times New Roman" w:hAnsi="Cambria Math"/>
                      <w:b/>
                      <w:i/>
                      <w:noProof/>
                      <w:color w:val="000000"/>
                      <w:sz w:val="20"/>
                      <w:szCs w:val="20"/>
                    </w:rPr>
                  </m:ctrlPr>
                </m:accPr>
                <m:e>
                  <m:r>
                    <m:rPr>
                      <m:sty m:val="bi"/>
                    </m:rPr>
                    <w:rPr>
                      <w:rFonts w:ascii="Cambria Math" w:eastAsia="Times New Roman" w:hAnsi="Cambria Math"/>
                      <w:noProof/>
                      <w:color w:val="000000"/>
                      <w:sz w:val="20"/>
                      <w:szCs w:val="20"/>
                    </w:rPr>
                    <m:t>X</m:t>
                  </m:r>
                </m:e>
              </m:acc>
            </m:oMath>
            <w:r w:rsidR="00894545" w:rsidRPr="00430EF7">
              <w:rPr>
                <w:rFonts w:ascii="Times New Roman" w:eastAsia="Times New Roman" w:hAnsi="Times New Roman"/>
                <w:b/>
                <w:noProof/>
                <w:color w:val="000000"/>
                <w:sz w:val="20"/>
                <w:szCs w:val="20"/>
              </w:rPr>
              <w:t>)</w:t>
            </w:r>
          </w:p>
        </w:tc>
        <w:tc>
          <w:tcPr>
            <w:tcW w:w="1324" w:type="dxa"/>
            <w:shd w:val="clear" w:color="auto" w:fill="auto"/>
            <w:noWrap/>
            <w:vAlign w:val="center"/>
            <w:hideMark/>
          </w:tcPr>
          <w:p w:rsidR="00894545" w:rsidRPr="0054104A" w:rsidRDefault="0054104A" w:rsidP="000263CB">
            <w:pPr>
              <w:spacing w:after="0" w:line="240" w:lineRule="auto"/>
              <w:jc w:val="center"/>
              <w:rPr>
                <w:rFonts w:ascii="Times New Roman" w:eastAsia="Times New Roman" w:hAnsi="Times New Roman"/>
                <w:b/>
                <w:noProof/>
                <w:color w:val="000000"/>
                <w:sz w:val="20"/>
                <w:szCs w:val="20"/>
                <w:lang w:val="en-US"/>
              </w:rPr>
            </w:pPr>
            <w:r>
              <w:rPr>
                <w:rFonts w:ascii="Times New Roman" w:eastAsia="Times New Roman" w:hAnsi="Times New Roman"/>
                <w:b/>
                <w:noProof/>
                <w:color w:val="000000"/>
                <w:sz w:val="20"/>
                <w:szCs w:val="20"/>
              </w:rPr>
              <w:t>Fre</w:t>
            </w:r>
            <w:r>
              <w:rPr>
                <w:rFonts w:ascii="Times New Roman" w:eastAsia="Times New Roman" w:hAnsi="Times New Roman"/>
                <w:b/>
                <w:noProof/>
                <w:color w:val="000000"/>
                <w:sz w:val="20"/>
                <w:szCs w:val="20"/>
                <w:lang w:val="en-US"/>
              </w:rPr>
              <w:t>quency</w:t>
            </w:r>
          </w:p>
        </w:tc>
        <w:tc>
          <w:tcPr>
            <w:tcW w:w="992"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oMath>
            </m:oMathPara>
          </w:p>
        </w:tc>
        <w:tc>
          <w:tcPr>
            <w:tcW w:w="1716"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r>
                  <m:rPr>
                    <m:sty m:val="bi"/>
                  </m:rPr>
                  <w:rPr>
                    <w:rFonts w:ascii="Cambria Math" w:eastAsia="Times New Roman" w:hAnsi="Cambria Math"/>
                    <w:noProof/>
                    <w:color w:val="000000"/>
                    <w:sz w:val="20"/>
                    <w:szCs w:val="20"/>
                  </w:rPr>
                  <m:t>FiXi</m:t>
                </m:r>
              </m:oMath>
            </m:oMathPara>
          </w:p>
        </w:tc>
        <w:tc>
          <w:tcPr>
            <w:tcW w:w="1983" w:type="dxa"/>
            <w:shd w:val="clear" w:color="auto" w:fill="auto"/>
            <w:noWrap/>
            <w:vAlign w:val="center"/>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oMath>
            </m:oMathPara>
          </w:p>
        </w:tc>
      </w:tr>
      <w:tr w:rsidR="00894545" w:rsidRPr="00430EF7" w:rsidTr="000263CB">
        <w:trPr>
          <w:trHeight w:val="214"/>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54—60</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57</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3249</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342</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19494</w:t>
            </w:r>
          </w:p>
        </w:tc>
      </w:tr>
      <w:tr w:rsidR="00894545" w:rsidRPr="00430EF7" w:rsidTr="000263CB">
        <w:trPr>
          <w:trHeight w:val="315"/>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61—67</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64</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4096</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384</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24576</w:t>
            </w:r>
          </w:p>
        </w:tc>
      </w:tr>
      <w:tr w:rsidR="00894545" w:rsidRPr="00430EF7" w:rsidTr="000263CB">
        <w:trPr>
          <w:trHeight w:val="315"/>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68—74</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71</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3</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5041</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213</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15123</w:t>
            </w:r>
          </w:p>
        </w:tc>
      </w:tr>
      <w:tr w:rsidR="00894545" w:rsidRPr="00430EF7" w:rsidTr="000263CB">
        <w:trPr>
          <w:trHeight w:val="315"/>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75—81</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78</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2</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6084</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156</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12168</w:t>
            </w:r>
          </w:p>
        </w:tc>
      </w:tr>
      <w:tr w:rsidR="00894545" w:rsidRPr="00430EF7" w:rsidTr="000263CB">
        <w:trPr>
          <w:trHeight w:val="315"/>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82—88</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85</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7</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7225</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595</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50576</w:t>
            </w:r>
          </w:p>
        </w:tc>
      </w:tr>
      <w:tr w:rsidR="00894545" w:rsidRPr="00430EF7" w:rsidTr="000263CB">
        <w:trPr>
          <w:trHeight w:val="315"/>
        </w:trPr>
        <w:tc>
          <w:tcPr>
            <w:tcW w:w="99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89—95</w:t>
            </w:r>
          </w:p>
        </w:tc>
        <w:tc>
          <w:tcPr>
            <w:tcW w:w="1545"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92</w:t>
            </w:r>
          </w:p>
        </w:tc>
        <w:tc>
          <w:tcPr>
            <w:tcW w:w="1324"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noProof/>
                <w:color w:val="000000"/>
                <w:sz w:val="20"/>
                <w:szCs w:val="20"/>
              </w:rPr>
            </w:pPr>
            <w:r w:rsidRPr="00430EF7">
              <w:rPr>
                <w:rFonts w:ascii="Times New Roman" w:eastAsia="Times New Roman" w:hAnsi="Times New Roman"/>
                <w:noProof/>
                <w:color w:val="000000"/>
                <w:sz w:val="20"/>
                <w:szCs w:val="20"/>
              </w:rPr>
              <w:t>4</w:t>
            </w:r>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8464</w:t>
            </w:r>
          </w:p>
        </w:tc>
        <w:tc>
          <w:tcPr>
            <w:tcW w:w="1716"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368</w:t>
            </w:r>
          </w:p>
        </w:tc>
        <w:tc>
          <w:tcPr>
            <w:tcW w:w="1983" w:type="dxa"/>
            <w:shd w:val="clear" w:color="auto" w:fill="auto"/>
            <w:noWrap/>
            <w:vAlign w:val="bottom"/>
            <w:hideMark/>
          </w:tcPr>
          <w:p w:rsidR="00894545" w:rsidRPr="00430EF7" w:rsidRDefault="00894545" w:rsidP="000263CB">
            <w:pPr>
              <w:spacing w:after="0" w:line="240" w:lineRule="auto"/>
              <w:jc w:val="right"/>
              <w:rPr>
                <w:rFonts w:ascii="Times New Roman" w:hAnsi="Times New Roman"/>
                <w:noProof/>
                <w:color w:val="000000"/>
                <w:sz w:val="20"/>
                <w:szCs w:val="20"/>
              </w:rPr>
            </w:pPr>
            <w:r w:rsidRPr="00430EF7">
              <w:rPr>
                <w:rFonts w:ascii="Times New Roman" w:hAnsi="Times New Roman"/>
                <w:noProof/>
                <w:color w:val="000000"/>
                <w:sz w:val="20"/>
                <w:szCs w:val="20"/>
              </w:rPr>
              <w:t>33856</w:t>
            </w:r>
          </w:p>
        </w:tc>
      </w:tr>
      <w:tr w:rsidR="00894545" w:rsidRPr="00430EF7" w:rsidTr="000263CB">
        <w:trPr>
          <w:trHeight w:val="70"/>
        </w:trPr>
        <w:tc>
          <w:tcPr>
            <w:tcW w:w="2538" w:type="dxa"/>
            <w:gridSpan w:val="2"/>
            <w:shd w:val="clear" w:color="auto" w:fill="auto"/>
            <w:noWrap/>
            <w:vAlign w:val="center"/>
            <w:hideMark/>
          </w:tcPr>
          <w:p w:rsidR="00894545" w:rsidRPr="0054104A" w:rsidRDefault="0054104A" w:rsidP="000263CB">
            <w:pPr>
              <w:spacing w:after="0" w:line="240" w:lineRule="auto"/>
              <w:jc w:val="center"/>
              <w:rPr>
                <w:rFonts w:ascii="Times New Roman" w:eastAsia="Times New Roman" w:hAnsi="Times New Roman"/>
                <w:b/>
                <w:noProof/>
                <w:color w:val="000000"/>
                <w:sz w:val="20"/>
                <w:szCs w:val="20"/>
                <w:lang w:val="en-US"/>
              </w:rPr>
            </w:pPr>
            <w:r>
              <w:rPr>
                <w:rFonts w:ascii="Times New Roman" w:eastAsia="Times New Roman" w:hAnsi="Times New Roman"/>
                <w:b/>
                <w:noProof/>
                <w:color w:val="000000"/>
                <w:sz w:val="20"/>
                <w:szCs w:val="20"/>
                <w:lang w:val="en-US"/>
              </w:rPr>
              <w:t>Total</w:t>
            </w:r>
          </w:p>
        </w:tc>
        <w:tc>
          <w:tcPr>
            <w:tcW w:w="1324"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r>
                      <m:rPr>
                        <m:sty m:val="bi"/>
                      </m:rPr>
                      <w:rPr>
                        <w:rFonts w:ascii="Cambria Math" w:eastAsia="Times New Roman" w:hAnsi="Cambria Math"/>
                        <w:noProof/>
                        <w:color w:val="000000"/>
                        <w:sz w:val="20"/>
                        <w:szCs w:val="20"/>
                      </w:rPr>
                      <m:t>F</m:t>
                    </m:r>
                  </m:e>
                </m:nary>
                <m:r>
                  <m:rPr>
                    <m:sty m:val="bi"/>
                  </m:rPr>
                  <w:rPr>
                    <w:rFonts w:ascii="Cambria Math" w:eastAsia="Times New Roman" w:hAnsi="Cambria Math"/>
                    <w:noProof/>
                    <w:color w:val="000000"/>
                    <w:sz w:val="20"/>
                    <w:szCs w:val="20"/>
                  </w:rPr>
                  <m:t>=28</m:t>
                </m:r>
              </m:oMath>
            </m:oMathPara>
          </w:p>
        </w:tc>
        <w:tc>
          <w:tcPr>
            <w:tcW w:w="992" w:type="dxa"/>
            <w:shd w:val="clear" w:color="auto" w:fill="auto"/>
            <w:noWrap/>
            <w:vAlign w:val="bottom"/>
            <w:hideMark/>
          </w:tcPr>
          <w:p w:rsidR="00894545" w:rsidRPr="00430EF7" w:rsidRDefault="00894545" w:rsidP="000263CB">
            <w:pPr>
              <w:spacing w:after="0" w:line="240" w:lineRule="auto"/>
              <w:jc w:val="right"/>
              <w:rPr>
                <w:rFonts w:ascii="Times New Roman" w:eastAsia="Times New Roman" w:hAnsi="Times New Roman"/>
                <w:b/>
                <w:noProof/>
                <w:color w:val="000000"/>
                <w:sz w:val="20"/>
                <w:szCs w:val="20"/>
              </w:rPr>
            </w:pPr>
          </w:p>
        </w:tc>
        <w:tc>
          <w:tcPr>
            <w:tcW w:w="1716"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r>
                      <m:rPr>
                        <m:sty m:val="bi"/>
                      </m:rPr>
                      <w:rPr>
                        <w:rFonts w:ascii="Cambria Math" w:eastAsia="Times New Roman" w:hAnsi="Cambria Math"/>
                        <w:noProof/>
                        <w:color w:val="000000"/>
                        <w:sz w:val="20"/>
                        <w:szCs w:val="20"/>
                      </w:rPr>
                      <m:t>=2058</m:t>
                    </m:r>
                  </m:e>
                </m:nary>
              </m:oMath>
            </m:oMathPara>
          </w:p>
        </w:tc>
        <w:tc>
          <w:tcPr>
            <w:tcW w:w="1983" w:type="dxa"/>
            <w:shd w:val="clear" w:color="auto" w:fill="auto"/>
            <w:noWrap/>
            <w:vAlign w:val="bottom"/>
            <w:hideMark/>
          </w:tcPr>
          <w:p w:rsidR="00894545" w:rsidRPr="00430EF7" w:rsidRDefault="00894545" w:rsidP="000263CB">
            <w:pPr>
              <w:spacing w:after="0" w:line="240" w:lineRule="auto"/>
              <w:jc w:val="center"/>
              <w:rPr>
                <w:rFonts w:ascii="Times New Roman" w:eastAsia="Times New Roman" w:hAnsi="Times New Roman"/>
                <w:b/>
                <w:noProof/>
                <w:color w:val="000000"/>
                <w:sz w:val="20"/>
                <w:szCs w:val="20"/>
              </w:rPr>
            </w:pPr>
            <m:oMathPara>
              <m:oMath>
                <m:nary>
                  <m:naryPr>
                    <m:chr m:val="∑"/>
                    <m:limLoc m:val="undOvr"/>
                    <m:subHide m:val="on"/>
                    <m:supHide m:val="on"/>
                    <m:ctrlPr>
                      <w:rPr>
                        <w:rFonts w:ascii="Cambria Math" w:eastAsia="Times New Roman" w:hAnsi="Cambria Math"/>
                        <w:b/>
                        <w:i/>
                        <w:noProof/>
                        <w:color w:val="000000"/>
                        <w:sz w:val="20"/>
                        <w:szCs w:val="20"/>
                      </w:rPr>
                    </m:ctrlPr>
                  </m:naryPr>
                  <m:sub/>
                  <m:sup/>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F</m:t>
                        </m:r>
                      </m:e>
                      <m:sub>
                        <m:r>
                          <m:rPr>
                            <m:sty m:val="bi"/>
                          </m:rPr>
                          <w:rPr>
                            <w:rFonts w:ascii="Cambria Math" w:eastAsia="Times New Roman" w:hAnsi="Cambria Math"/>
                            <w:noProof/>
                            <w:color w:val="000000"/>
                            <w:sz w:val="20"/>
                            <w:szCs w:val="20"/>
                          </w:rPr>
                          <m:t>i</m:t>
                        </m:r>
                      </m:sub>
                    </m:sSub>
                    <m:sSup>
                      <m:sSupPr>
                        <m:ctrlPr>
                          <w:rPr>
                            <w:rFonts w:ascii="Cambria Math" w:eastAsia="Times New Roman" w:hAnsi="Cambria Math"/>
                            <w:b/>
                            <w:i/>
                            <w:noProof/>
                            <w:color w:val="000000"/>
                            <w:sz w:val="20"/>
                            <w:szCs w:val="20"/>
                          </w:rPr>
                        </m:ctrlPr>
                      </m:sSupPr>
                      <m:e>
                        <m:sSub>
                          <m:sSubPr>
                            <m:ctrlPr>
                              <w:rPr>
                                <w:rFonts w:ascii="Cambria Math" w:eastAsia="Times New Roman" w:hAnsi="Cambria Math"/>
                                <w:b/>
                                <w:i/>
                                <w:noProof/>
                                <w:color w:val="000000"/>
                                <w:sz w:val="20"/>
                                <w:szCs w:val="20"/>
                              </w:rPr>
                            </m:ctrlPr>
                          </m:sSubPr>
                          <m:e>
                            <m:r>
                              <m:rPr>
                                <m:sty m:val="bi"/>
                              </m:rPr>
                              <w:rPr>
                                <w:rFonts w:ascii="Cambria Math" w:eastAsia="Times New Roman" w:hAnsi="Cambria Math"/>
                                <w:noProof/>
                                <w:color w:val="000000"/>
                                <w:sz w:val="20"/>
                                <w:szCs w:val="20"/>
                              </w:rPr>
                              <m:t>X</m:t>
                            </m:r>
                          </m:e>
                          <m:sub>
                            <m:r>
                              <m:rPr>
                                <m:sty m:val="bi"/>
                              </m:rPr>
                              <w:rPr>
                                <w:rFonts w:ascii="Cambria Math" w:eastAsia="Times New Roman" w:hAnsi="Cambria Math"/>
                                <w:noProof/>
                                <w:color w:val="000000"/>
                                <w:sz w:val="20"/>
                                <w:szCs w:val="20"/>
                              </w:rPr>
                              <m:t>i</m:t>
                            </m:r>
                          </m:sub>
                        </m:sSub>
                      </m:e>
                      <m:sup>
                        <m:r>
                          <m:rPr>
                            <m:sty m:val="bi"/>
                          </m:rPr>
                          <w:rPr>
                            <w:rFonts w:ascii="Cambria Math" w:eastAsia="Times New Roman" w:hAnsi="Cambria Math"/>
                            <w:noProof/>
                            <w:color w:val="000000"/>
                            <w:sz w:val="20"/>
                            <w:szCs w:val="20"/>
                          </w:rPr>
                          <m:t>2</m:t>
                        </m:r>
                      </m:sup>
                    </m:sSup>
                    <m:r>
                      <m:rPr>
                        <m:sty m:val="bi"/>
                      </m:rPr>
                      <w:rPr>
                        <w:rFonts w:ascii="Cambria Math" w:eastAsia="Times New Roman" w:hAnsi="Cambria Math"/>
                        <w:noProof/>
                        <w:color w:val="000000"/>
                        <w:sz w:val="20"/>
                        <w:szCs w:val="20"/>
                      </w:rPr>
                      <m:t>=155793</m:t>
                    </m:r>
                  </m:e>
                </m:nary>
              </m:oMath>
            </m:oMathPara>
          </w:p>
        </w:tc>
      </w:tr>
    </w:tbl>
    <w:p w:rsidR="00894545" w:rsidRPr="00430EF7" w:rsidRDefault="00894545" w:rsidP="00894545">
      <w:pPr>
        <w:pStyle w:val="ListParagraph"/>
        <w:spacing w:after="0" w:line="240" w:lineRule="auto"/>
        <w:ind w:left="0" w:firstLine="709"/>
        <w:jc w:val="both"/>
        <w:rPr>
          <w:rFonts w:ascii="Times New Roman" w:hAnsi="Times New Roman"/>
          <w:noProof/>
          <w:sz w:val="24"/>
          <w:lang w:val="id-ID"/>
        </w:rPr>
      </w:pPr>
    </w:p>
    <w:p w:rsidR="00894545" w:rsidRDefault="0054104A" w:rsidP="00894545">
      <w:pPr>
        <w:pStyle w:val="ListParagraph"/>
        <w:spacing w:after="0" w:line="240" w:lineRule="auto"/>
        <w:ind w:left="0" w:firstLine="709"/>
        <w:jc w:val="both"/>
        <w:rPr>
          <w:rFonts w:ascii="Times New Roman" w:hAnsi="Times New Roman"/>
          <w:noProof/>
          <w:sz w:val="24"/>
          <w:lang w:val="en-US"/>
        </w:rPr>
      </w:pPr>
      <w:r w:rsidRPr="0054104A">
        <w:rPr>
          <w:rFonts w:ascii="Times New Roman" w:hAnsi="Times New Roman"/>
          <w:noProof/>
          <w:sz w:val="24"/>
          <w:lang w:val="id-ID"/>
        </w:rPr>
        <w:t>The frequency distribution of student learning outcomes data with the CIRC model is visualized in Figure 2 below.</w:t>
      </w:r>
    </w:p>
    <w:p w:rsidR="0054104A" w:rsidRPr="0054104A" w:rsidRDefault="0054104A" w:rsidP="00894545">
      <w:pPr>
        <w:pStyle w:val="ListParagraph"/>
        <w:spacing w:after="0" w:line="240" w:lineRule="auto"/>
        <w:ind w:left="0" w:firstLine="709"/>
        <w:jc w:val="both"/>
        <w:rPr>
          <w:rFonts w:ascii="Times New Roman" w:hAnsi="Times New Roman"/>
          <w:noProof/>
          <w:sz w:val="24"/>
          <w:lang w:val="en-US"/>
        </w:rPr>
      </w:pPr>
    </w:p>
    <w:p w:rsidR="00894545" w:rsidRDefault="00894545" w:rsidP="00894545">
      <w:pPr>
        <w:pStyle w:val="ListParagraph"/>
        <w:spacing w:after="0" w:line="240" w:lineRule="auto"/>
        <w:ind w:left="0"/>
        <w:jc w:val="center"/>
        <w:rPr>
          <w:rFonts w:ascii="Times New Roman" w:hAnsi="Times New Roman"/>
          <w:noProof/>
          <w:sz w:val="24"/>
          <w:lang w:val="en-US"/>
        </w:rPr>
      </w:pPr>
      <w:r>
        <w:rPr>
          <w:rFonts w:ascii="Times New Roman" w:hAnsi="Times New Roman"/>
          <w:noProof/>
          <w:sz w:val="24"/>
          <w:lang w:val="en-US" w:eastAsia="en-US"/>
        </w:rPr>
        <w:drawing>
          <wp:inline distT="0" distB="0" distL="0" distR="0">
            <wp:extent cx="3708883" cy="2106778"/>
            <wp:effectExtent l="19050" t="0" r="24917" b="7772"/>
            <wp:docPr id="20"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4104A" w:rsidRPr="0054104A" w:rsidRDefault="0054104A" w:rsidP="00894545">
      <w:pPr>
        <w:pStyle w:val="ListParagraph"/>
        <w:spacing w:after="0" w:line="240" w:lineRule="auto"/>
        <w:ind w:left="0"/>
        <w:jc w:val="center"/>
        <w:rPr>
          <w:rFonts w:ascii="Times New Roman" w:hAnsi="Times New Roman"/>
          <w:noProof/>
          <w:sz w:val="24"/>
          <w:lang w:val="en-US"/>
        </w:rPr>
      </w:pPr>
    </w:p>
    <w:p w:rsidR="00894545" w:rsidRPr="00430EF7" w:rsidRDefault="0054104A" w:rsidP="00894545">
      <w:pPr>
        <w:pStyle w:val="ListParagraph"/>
        <w:spacing w:after="0" w:line="240" w:lineRule="auto"/>
        <w:ind w:left="0"/>
        <w:jc w:val="center"/>
        <w:rPr>
          <w:rFonts w:ascii="Times New Roman" w:hAnsi="Times New Roman"/>
          <w:b/>
          <w:noProof/>
          <w:sz w:val="20"/>
          <w:lang w:val="id-ID"/>
        </w:rPr>
      </w:pPr>
      <w:r w:rsidRPr="0054104A">
        <w:rPr>
          <w:rFonts w:ascii="Times New Roman" w:hAnsi="Times New Roman"/>
          <w:b/>
          <w:noProof/>
          <w:sz w:val="20"/>
          <w:lang w:val="id-ID"/>
        </w:rPr>
        <w:t>Figure 2. Diagram of the Results of Understanding Poetry using the CIRC Model</w:t>
      </w:r>
    </w:p>
    <w:p w:rsidR="00894545" w:rsidRPr="00430EF7" w:rsidRDefault="00894545" w:rsidP="00894545">
      <w:pPr>
        <w:pStyle w:val="BodytextMaJER"/>
        <w:ind w:firstLine="720"/>
        <w:rPr>
          <w:noProof/>
          <w:lang w:val="id-ID"/>
        </w:rPr>
      </w:pPr>
    </w:p>
    <w:p w:rsidR="00894545" w:rsidRDefault="003728AD" w:rsidP="00894545">
      <w:pPr>
        <w:pStyle w:val="BodytextMaJER"/>
        <w:ind w:firstLine="720"/>
        <w:rPr>
          <w:noProof/>
          <w:lang w:val="en-US"/>
        </w:rPr>
      </w:pPr>
      <w:r w:rsidRPr="003728AD">
        <w:rPr>
          <w:noProof/>
          <w:lang w:val="id-ID"/>
        </w:rPr>
        <w:t>Student learning outcomes before and after using the CIRC model have increased significantly. Before using the STAD model, student learning outcomes ranged from 30-50. After using the STAD model, student learning outcomes increased between 54-92 with a mean of 73.50. These results indicate that CIRC has influenced poetry learning. The division of groups based on the level of interest in reading has had an influence on students' efforts to understand poetry learning. Students who have high reading interest help students who have a low reading interest so that they can work together to understand the structure of poetry. Students who have a low reading interest are motivated by students who have a high reading interest to increase their reading interest. There are learning stages that require students to read and correct each other if errors are found in reading comprehension. This activity makes students who have low reading interest increase their reading interest so that they are able to follow students who have high reading interest in reading comprehension. Especially in learning to understand poetry, reading interest is a factor that affects the ability to understand poetry</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{"citationItems":[{"id":"ITEM-1","itemData":{"DOI":"10.26499/kelasa.v15i2.12","author":[{"dropping-particle":"","family":"Ramadhanti","given":"Dina","non-dropping-particle":"","parse-names":false,"suffix":""},{"dropping-particle":"","family":"Yanda","given":"Diyan Permata","non-dropping-particle":"","parse-names":false,"suffix":""}],"container-title":"Kelasa","id":"ITEM-1","issue":"2","issued":{"date-parts":[["2020"]]},"page":"194-208","title":"Faktor Minat Baca dalam Pembelajaran Puisi","type":"article-journal","volume":"15"},"uris":["http://www.mendeley.com/documents/?uuid=fedeecc7-5754-46b7-a1be-5e9fc53aacdd"]}],"mendeley":{"formattedCitation":"(Ramadhanti &amp; Yanda, 2020)","plainTextFormattedCitation":"(Ramadhanti &amp; Yanda, 2020)","previouslyFormattedCitation":"(Ramadhanti &amp; Yanda, 2020)"},"properties":{"noteIndex":0},"schema":"https://github.com/citation-style-language/schema/raw/master/csl-citation.json"}</w:instrText>
      </w:r>
      <w:r w:rsidR="00894545" w:rsidRPr="00430EF7">
        <w:rPr>
          <w:noProof/>
          <w:lang w:val="id-ID"/>
        </w:rPr>
        <w:fldChar w:fldCharType="separate"/>
      </w:r>
      <w:r w:rsidR="00894545" w:rsidRPr="00430EF7">
        <w:rPr>
          <w:noProof/>
          <w:lang w:val="id-ID"/>
        </w:rPr>
        <w:t>(Ramadhanti &amp; Yanda, 2020)</w:t>
      </w:r>
      <w:r w:rsidR="00894545" w:rsidRPr="00430EF7">
        <w:rPr>
          <w:noProof/>
          <w:lang w:val="id-ID"/>
        </w:rPr>
        <w:fldChar w:fldCharType="end"/>
      </w:r>
      <w:r w:rsidR="00894545" w:rsidRPr="00430EF7">
        <w:rPr>
          <w:noProof/>
          <w:lang w:val="id-ID"/>
        </w:rPr>
        <w:t xml:space="preserve">. </w:t>
      </w:r>
      <w:r w:rsidR="009B2954" w:rsidRPr="009B2954">
        <w:rPr>
          <w:noProof/>
          <w:lang w:val="id-ID"/>
        </w:rPr>
        <w:t xml:space="preserve">They also work together to write their collaborative results in the form of short essays as an effort to interpret the contents of the poetry. This is in accordance with the results of previous research which states that CIRC can make students who have a high reading interest work together and share ideas with students who have low reading interests to both increases their interest and </w:t>
      </w:r>
      <w:r w:rsidR="009B2954">
        <w:rPr>
          <w:noProof/>
          <w:lang w:val="id-ID"/>
        </w:rPr>
        <w:lastRenderedPageBreak/>
        <w:t>motivation in learning reading</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{"citationItems":[{"id":"ITEM-1","itemData":{"ISSN":"2407-151X","abstract":"Penelitian ini bertujuan untuk mengetahui apakah : (1) MetodeCooperative Integrated Reading And Composition (CIRC) lebih efektif daripada MetodeDirect Instruction dalampengajaran keterampilan membaca; (2) siswa yang memiliki minat tinggi memiliki kemampuan membaca lebih baik daripada siswa yang memiliki minatrendah; dan (3) ada interaksi antara metode pengajaran dan minat siswa dalampengajaran keterampilan membaca. Penelitian eksperimental ini dilakukan di SMAN 8 Pontianak padasiswa kelas X Tahun Akademik 2012/2013. Hasilanalisa data menunjukkan temuan sebagai berikut : (1) MetodeCIRC lebih efektif daripada MetodeDirect Instruction dalampengajaran keterampilan membaca; (2) Siswa yang memiliki minat tinggi memiliki kemampuan membaca lebih baik daripada mereka yang memiliki minat rendah ; dan (3) Ada interaksi antara metode pengajaran dan minat siswa dalampengajaranketerampilanmembaca. Berdasarkantemuanini dapat disimpulkan bahwa secara umum MetodeCIRC lebih efektif daripada Metode Direct Instructiondalampengajaran keterampilan membaca. Bagi siswa yang memiliki minat tinggi, MetodeCIRC lebih efektif daripada MetodeDirect Instruction dalampengajaran keterampilan membaca tetapi untuk siswa yang memiliki minat rendah, MetodeDirect Instruction lebih efektif dibandingkan MetodeCIRC dalampengajaran keterampilan membaca . Efektivitas metode tergantung pada tingkat minat siswa . Kata","author":[{"dropping-particle":"","family":"Astuti","given":"Desi Sri","non-dropping-particle":"","parse-names":false,"suffix":""}],"container-title":"Jurnal Pendidikan Bahasa","id":"ITEM-1","issue":"1","issued":{"date-parts":[["2014"]]},"page":"73-88","title":"The Effectiveness of Cooperative Integrated Reading and Composition (CIRC) Method in Teaching Reading Skill Viewed From Students’Interest","type":"article-journal","volume":"3"},"uris":["http://www.mendeley.com/documents/?uuid=e16abbc7-48ff-474d-bb57-5d6e445229bf"]}],"mendeley":{"formattedCitation":"(Astuti, 2014)","plainTextFormattedCitation":"(Astuti, 2014)","previouslyFormattedCitation":"(Astuti, 2014)"},"properties":{"noteIndex":0},"schema":"https://github.com/citation-style-language/schema/raw/master/csl-citation.json"}</w:instrText>
      </w:r>
      <w:r w:rsidR="00894545" w:rsidRPr="00430EF7">
        <w:rPr>
          <w:noProof/>
          <w:lang w:val="id-ID"/>
        </w:rPr>
        <w:fldChar w:fldCharType="separate"/>
      </w:r>
      <w:r w:rsidR="00894545" w:rsidRPr="00430EF7">
        <w:rPr>
          <w:noProof/>
          <w:lang w:val="id-ID"/>
        </w:rPr>
        <w:t>(Astuti, 2014)</w:t>
      </w:r>
      <w:r w:rsidR="00894545" w:rsidRPr="00430EF7">
        <w:rPr>
          <w:noProof/>
          <w:lang w:val="id-ID"/>
        </w:rPr>
        <w:fldChar w:fldCharType="end"/>
      </w:r>
      <w:r w:rsidR="00894545" w:rsidRPr="00430EF7">
        <w:rPr>
          <w:noProof/>
          <w:lang w:val="id-ID"/>
        </w:rPr>
        <w:t xml:space="preserve">. </w:t>
      </w:r>
      <w:r w:rsidR="009B2954" w:rsidRPr="009B2954">
        <w:rPr>
          <w:noProof/>
          <w:lang w:val="id-ID"/>
        </w:rPr>
        <w:t>After studying the reading, students both write their collaborative results in writing because CIRC is also seen as a learning model that is very effective</w:t>
      </w:r>
      <w:r w:rsidR="009B2954">
        <w:rPr>
          <w:noProof/>
          <w:lang w:val="id-ID"/>
        </w:rPr>
        <w:t xml:space="preserve"> in learning to write</w:t>
      </w:r>
      <w:r w:rsidR="00894545" w:rsidRPr="00430EF7">
        <w:rPr>
          <w:noProof/>
          <w:lang w:val="id-ID"/>
        </w:rPr>
        <w:t xml:space="preserve"> </w:t>
      </w:r>
      <w:r w:rsidR="00894545" w:rsidRPr="00430EF7">
        <w:rPr>
          <w:noProof/>
          <w:lang w:val="id-ID"/>
        </w:rPr>
        <w:fldChar w:fldCharType="begin" w:fldLock="1"/>
      </w:r>
      <w:r w:rsidR="00894545" w:rsidRPr="00430EF7">
        <w:rPr>
          <w:noProof/>
          <w:lang w:val="id-ID"/>
        </w:rPr>
        <w:instrText>ADDIN CSL_CITATION {"citationItems":[{"id":"ITEM-1","itemData":{"abstract":"The research was conducted at finding out whether (1) CIRC is more effective than Direct Method; (2) the eighth grade students of SMP N 2 Cepu Central Java who have high creativity have better writing skill than those having low creativity; and (3) there is interaction between teaching methods and students’ creativity to teach writing. This research was done in SMP N 2 Cepu Central Java. The subject of the research is the eighth grade students in the academic year of 2012 – 2013. The method which was applied in this research was experimental Study. The samples were taken by using cluster random sampling technique. The class 8F was used as the experimental class and class 8E as the control class. Each of the classes consisted of 30 students. The data were obtained from students’ score of creativity test and score of writing test. To analyze the data, researcher used descriptive analysis, ANOVA, and Tukey test.The result of the research shows that: (1) CIRC is more effective than Direct Method in teaching writing for eighth grade students of SMP N 2 Cepu Central Java; (2) students who have high creativity have better writing skill than students who have low creativity; (3) there is an interaction between teaching methods and students’ creativity in teaching writing at the eighth grade students of SMP N 2 Cepu Central Java. Based on the findings, it can be concluded that CIRC is an effective method to teach writing viewed from students’ creativity at the eighth grade students of SMPN 2 Cepu Central Java. Recommendations are addressed to English teachers and future researchers. English teacher should consider utilizing CIRC due to the benefits of the method. For future researchers, it is suggested to conduct more sophisticated research on the same topic.","author":[{"dropping-particle":"","family":"Parmawati","given":"Aseptiana","non-dropping-particle":"","parse-names":false,"suffix":""}],"container-title":"ELTIN JOurnal","id":"ITEM-1","issue":"2","issued":{"date-parts":[["2015"]]},"page":"63-71","title":"The Effectiveness of Cooperative Integrated Reading and Composition (CIRC)","type":"article-journal","volume":"3"},"uris":["http://www.mendeley.com/documents/?uuid=5fabbd46-51f4-41ca-acc8-56197ee28612"]}],"mendeley":{"formattedCitation":"(Parmawati, 2015)","plainTextFormattedCitation":"(Parmawati, 2015)","previouslyFormattedCitation":"(Parmawati, 2015)"},"properties":{"noteIndex":0},"schema":"https://github.com/citation-style-language/schema/raw/master/csl-citation.json"}</w:instrText>
      </w:r>
      <w:r w:rsidR="00894545" w:rsidRPr="00430EF7">
        <w:rPr>
          <w:noProof/>
          <w:lang w:val="id-ID"/>
        </w:rPr>
        <w:fldChar w:fldCharType="separate"/>
      </w:r>
      <w:r w:rsidR="00894545" w:rsidRPr="00430EF7">
        <w:rPr>
          <w:noProof/>
          <w:lang w:val="id-ID"/>
        </w:rPr>
        <w:t>(Parmawati, 2015)</w:t>
      </w:r>
      <w:r w:rsidR="00894545" w:rsidRPr="00430EF7">
        <w:rPr>
          <w:noProof/>
          <w:lang w:val="id-ID"/>
        </w:rPr>
        <w:fldChar w:fldCharType="end"/>
      </w:r>
      <w:r w:rsidR="00894545" w:rsidRPr="00430EF7">
        <w:rPr>
          <w:noProof/>
          <w:lang w:val="id-ID"/>
        </w:rPr>
        <w:t xml:space="preserve">. </w:t>
      </w:r>
      <w:r w:rsidR="009B2954" w:rsidRPr="009B2954">
        <w:rPr>
          <w:noProof/>
          <w:lang w:val="id-ID"/>
        </w:rPr>
        <w:t>This is in accordance with the basic concept of the CIRC model which integrates reading and writing in an integrated manner in the learning stages.</w:t>
      </w:r>
    </w:p>
    <w:p w:rsidR="009B2954" w:rsidRPr="009B2954" w:rsidRDefault="009B2954" w:rsidP="00894545">
      <w:pPr>
        <w:pStyle w:val="BodytextMaJER"/>
        <w:ind w:firstLine="720"/>
        <w:rPr>
          <w:noProof/>
          <w:lang w:val="en-US"/>
        </w:rPr>
      </w:pPr>
    </w:p>
    <w:p w:rsidR="00894545" w:rsidRPr="009B2954" w:rsidRDefault="009B2954" w:rsidP="00894545">
      <w:pPr>
        <w:pStyle w:val="BodytextMaJER"/>
        <w:rPr>
          <w:b/>
          <w:noProof/>
          <w:lang w:val="en-US"/>
        </w:rPr>
      </w:pPr>
      <w:r>
        <w:rPr>
          <w:b/>
          <w:noProof/>
          <w:lang w:val="en-US"/>
        </w:rPr>
        <w:t>The Uniqueness of STAD and CIRC Models In Poetry Learning</w:t>
      </w:r>
    </w:p>
    <w:p w:rsidR="009B2954" w:rsidRDefault="009B2954" w:rsidP="00894545">
      <w:pPr>
        <w:pStyle w:val="ListParagraph"/>
        <w:spacing w:after="0" w:line="240" w:lineRule="auto"/>
        <w:ind w:left="0" w:firstLine="709"/>
        <w:jc w:val="both"/>
        <w:rPr>
          <w:rFonts w:ascii="Times New Roman" w:hAnsi="Times New Roman"/>
          <w:noProof/>
          <w:sz w:val="24"/>
          <w:lang w:val="en-US"/>
        </w:rPr>
      </w:pPr>
      <w:r w:rsidRPr="009B2954">
        <w:rPr>
          <w:rFonts w:ascii="Times New Roman" w:hAnsi="Times New Roman"/>
          <w:noProof/>
          <w:sz w:val="24"/>
          <w:lang w:val="id-ID"/>
        </w:rPr>
        <w:t>Before explaining the uniqueness of the STAD and CIRC models in poetry learning, it is necessary to test the hypothesis. Hypothesis testing also aims to determine differences in learning outcomes in the two experimental classes. Before testing the hypothesis, the analysis requirements test is carried out which includes a data normality test and a data homogeneity test. The results of the data normality test showed that for the experimental class I, at alpha (α) 0.05, it was obtained L0 of 0.159 and Lt of 0.161, while in the experimental class II it was obtained L0 of 0.198 and Lt of 0.161. Data is normally distributed if L0 &lt;Lt. Thus, the experimental group I had data that were normally distributed while the experimental class II had data that were not normally distributed. These results also indicate that in experimental class I students 'abilities were spread evenly, while in experimental class II students' abilities were not evenly distributed. Furthermore, for the data homogeneity test, it was found that at alpha (α) 0.05, the F-count was 1.788 and F-table was 1.85. Experimental group I and experimental group II have homogeneous variances because F-count &lt; F-table.</w:t>
      </w:r>
    </w:p>
    <w:p w:rsidR="00894545" w:rsidRPr="00430EF7" w:rsidRDefault="009B2954" w:rsidP="00894545">
      <w:pPr>
        <w:pStyle w:val="ListParagraph"/>
        <w:spacing w:after="0" w:line="240" w:lineRule="auto"/>
        <w:ind w:left="0" w:firstLine="709"/>
        <w:jc w:val="both"/>
        <w:rPr>
          <w:rFonts w:ascii="Times New Roman" w:hAnsi="Times New Roman"/>
          <w:noProof/>
          <w:sz w:val="24"/>
          <w:lang w:val="id-ID"/>
        </w:rPr>
      </w:pPr>
      <w:r w:rsidRPr="009B2954">
        <w:rPr>
          <w:rFonts w:ascii="Times New Roman" w:hAnsi="Times New Roman"/>
          <w:noProof/>
          <w:sz w:val="24"/>
          <w:lang w:val="id-ID"/>
        </w:rPr>
        <w:t>The analysis requirements test shows that one of the experimental classes is not normally distributed, but both have homogeneous variances. The results of the calculation of the hypothesis test are visualized in Table 4 below.</w:t>
      </w:r>
    </w:p>
    <w:p w:rsidR="00894545" w:rsidRPr="00430EF7" w:rsidRDefault="00894545" w:rsidP="00894545">
      <w:pPr>
        <w:pStyle w:val="ListParagraph"/>
        <w:spacing w:after="0" w:line="240" w:lineRule="auto"/>
        <w:ind w:left="0" w:firstLine="709"/>
        <w:jc w:val="both"/>
        <w:rPr>
          <w:rFonts w:ascii="Times New Roman" w:hAnsi="Times New Roman"/>
          <w:noProof/>
          <w:sz w:val="24"/>
          <w:lang w:val="id-ID"/>
        </w:rPr>
      </w:pPr>
    </w:p>
    <w:p w:rsidR="00894545" w:rsidRPr="009B2954" w:rsidRDefault="009B2954" w:rsidP="00894545">
      <w:pPr>
        <w:pStyle w:val="ListParagraph"/>
        <w:spacing w:after="0" w:line="240" w:lineRule="auto"/>
        <w:ind w:left="0"/>
        <w:jc w:val="center"/>
        <w:rPr>
          <w:rFonts w:ascii="Times New Roman" w:hAnsi="Times New Roman"/>
          <w:b/>
          <w:noProof/>
          <w:sz w:val="20"/>
          <w:szCs w:val="20"/>
          <w:lang w:val="en-US"/>
        </w:rPr>
      </w:pPr>
      <w:r w:rsidRPr="009B2954">
        <w:rPr>
          <w:rFonts w:ascii="Times New Roman" w:hAnsi="Times New Roman"/>
          <w:b/>
          <w:noProof/>
          <w:sz w:val="20"/>
          <w:szCs w:val="20"/>
          <w:lang w:val="id-ID"/>
        </w:rPr>
        <w:t>Tab</w:t>
      </w:r>
      <w:r w:rsidR="00894545" w:rsidRPr="009B2954">
        <w:rPr>
          <w:rFonts w:ascii="Times New Roman" w:hAnsi="Times New Roman"/>
          <w:b/>
          <w:noProof/>
          <w:sz w:val="20"/>
          <w:szCs w:val="20"/>
          <w:lang w:val="id-ID"/>
        </w:rPr>
        <w:t>l</w:t>
      </w:r>
      <w:r w:rsidRPr="009B2954">
        <w:rPr>
          <w:rFonts w:ascii="Times New Roman" w:hAnsi="Times New Roman"/>
          <w:b/>
          <w:noProof/>
          <w:sz w:val="20"/>
          <w:szCs w:val="20"/>
          <w:lang w:val="en-US"/>
        </w:rPr>
        <w:t>e</w:t>
      </w:r>
      <w:r w:rsidR="00894545" w:rsidRPr="009B2954">
        <w:rPr>
          <w:rFonts w:ascii="Times New Roman" w:hAnsi="Times New Roman"/>
          <w:b/>
          <w:noProof/>
          <w:sz w:val="20"/>
          <w:szCs w:val="20"/>
          <w:lang w:val="id-ID"/>
        </w:rPr>
        <w:t xml:space="preserve"> 4. </w:t>
      </w:r>
      <w:r w:rsidRPr="009B2954">
        <w:rPr>
          <w:rFonts w:ascii="Times New Roman" w:hAnsi="Times New Roman"/>
          <w:b/>
          <w:noProof/>
          <w:sz w:val="20"/>
          <w:szCs w:val="20"/>
          <w:lang w:val="en-US"/>
        </w:rPr>
        <w:t>Hypothesis Test</w:t>
      </w:r>
    </w:p>
    <w:tbl>
      <w:tblPr>
        <w:tblW w:w="8516" w:type="dxa"/>
        <w:tblInd w:w="108" w:type="dxa"/>
        <w:tblBorders>
          <w:top w:val="single" w:sz="4" w:space="0" w:color="000000"/>
          <w:bottom w:val="single" w:sz="4" w:space="0" w:color="000000"/>
          <w:insideH w:val="single" w:sz="4" w:space="0" w:color="000000"/>
        </w:tblBorders>
        <w:tblLook w:val="04A0"/>
      </w:tblPr>
      <w:tblGrid>
        <w:gridCol w:w="2340"/>
        <w:gridCol w:w="851"/>
        <w:gridCol w:w="992"/>
        <w:gridCol w:w="992"/>
        <w:gridCol w:w="1119"/>
        <w:gridCol w:w="1114"/>
        <w:gridCol w:w="1108"/>
      </w:tblGrid>
      <w:tr w:rsidR="00894545" w:rsidRPr="009B2954" w:rsidTr="009B2954">
        <w:tc>
          <w:tcPr>
            <w:tcW w:w="2340" w:type="dxa"/>
          </w:tcPr>
          <w:p w:rsidR="00894545" w:rsidRPr="009B2954" w:rsidRDefault="009B2954" w:rsidP="000263CB">
            <w:pPr>
              <w:pStyle w:val="ListParagraph"/>
              <w:spacing w:after="0" w:line="240" w:lineRule="auto"/>
              <w:ind w:left="0"/>
              <w:jc w:val="center"/>
              <w:rPr>
                <w:rFonts w:ascii="Times New Roman" w:hAnsi="Times New Roman"/>
                <w:b/>
                <w:noProof/>
                <w:sz w:val="20"/>
                <w:szCs w:val="20"/>
                <w:lang w:val="en-US"/>
              </w:rPr>
            </w:pPr>
            <w:r>
              <w:rPr>
                <w:rFonts w:ascii="Times New Roman" w:hAnsi="Times New Roman"/>
                <w:b/>
                <w:noProof/>
                <w:sz w:val="20"/>
                <w:szCs w:val="20"/>
                <w:lang w:val="en-US"/>
              </w:rPr>
              <w:t>Groups</w:t>
            </w:r>
          </w:p>
        </w:tc>
        <w:tc>
          <w:tcPr>
            <w:tcW w:w="851"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id-ID"/>
              </w:rPr>
            </w:pPr>
            <w:r w:rsidRPr="009B2954">
              <w:rPr>
                <w:rFonts w:ascii="Times New Roman" w:hAnsi="Times New Roman"/>
                <w:b/>
                <w:noProof/>
                <w:sz w:val="20"/>
                <w:szCs w:val="20"/>
                <w:lang w:val="id-ID"/>
              </w:rPr>
              <w:t>N</w:t>
            </w:r>
          </w:p>
        </w:tc>
        <w:tc>
          <w:tcPr>
            <w:tcW w:w="992"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id-ID"/>
              </w:rPr>
            </w:pPr>
            <m:oMathPara>
              <m:oMath>
                <m:acc>
                  <m:accPr>
                    <m:chr m:val="̅"/>
                    <m:ctrlPr>
                      <w:rPr>
                        <w:rFonts w:ascii="Cambria Math" w:hAnsi="Cambria Math"/>
                        <w:b/>
                        <w:i/>
                        <w:noProof/>
                        <w:sz w:val="20"/>
                        <w:szCs w:val="20"/>
                      </w:rPr>
                    </m:ctrlPr>
                  </m:accPr>
                  <m:e>
                    <m:r>
                      <m:rPr>
                        <m:sty m:val="bi"/>
                      </m:rPr>
                      <w:rPr>
                        <w:rFonts w:ascii="Cambria Math" w:hAnsi="Cambria Math"/>
                        <w:noProof/>
                        <w:sz w:val="20"/>
                        <w:szCs w:val="20"/>
                      </w:rPr>
                      <m:t>X</m:t>
                    </m:r>
                  </m:e>
                </m:acc>
              </m:oMath>
            </m:oMathPara>
          </w:p>
        </w:tc>
        <w:tc>
          <w:tcPr>
            <w:tcW w:w="992"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id-ID"/>
              </w:rPr>
            </w:pPr>
            <w:r w:rsidRPr="009B2954">
              <w:rPr>
                <w:rFonts w:ascii="Times New Roman" w:hAnsi="Times New Roman"/>
                <w:b/>
                <w:noProof/>
                <w:sz w:val="20"/>
                <w:szCs w:val="20"/>
                <w:lang w:val="id-ID"/>
              </w:rPr>
              <w:t>S</w:t>
            </w:r>
          </w:p>
        </w:tc>
        <w:tc>
          <w:tcPr>
            <w:tcW w:w="1119"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id-ID"/>
              </w:rPr>
            </w:pPr>
            <m:oMathPara>
              <m:oMath>
                <m:sSup>
                  <m:sSupPr>
                    <m:ctrlPr>
                      <w:rPr>
                        <w:rFonts w:ascii="Cambria Math" w:hAnsi="Cambria Math"/>
                        <w:b/>
                        <w:i/>
                        <w:noProof/>
                        <w:sz w:val="20"/>
                        <w:szCs w:val="20"/>
                      </w:rPr>
                    </m:ctrlPr>
                  </m:sSupPr>
                  <m:e>
                    <m:r>
                      <m:rPr>
                        <m:sty m:val="bi"/>
                      </m:rPr>
                      <w:rPr>
                        <w:rFonts w:ascii="Cambria Math" w:hAnsi="Cambria Math"/>
                        <w:noProof/>
                        <w:sz w:val="20"/>
                        <w:szCs w:val="20"/>
                      </w:rPr>
                      <m:t>S</m:t>
                    </m:r>
                  </m:e>
                  <m:sup>
                    <m:r>
                      <m:rPr>
                        <m:sty m:val="bi"/>
                      </m:rPr>
                      <w:rPr>
                        <w:rFonts w:ascii="Cambria Math" w:hAnsi="Cambria Math"/>
                        <w:noProof/>
                        <w:sz w:val="20"/>
                        <w:szCs w:val="20"/>
                      </w:rPr>
                      <m:t>2</m:t>
                    </m:r>
                  </m:sup>
                </m:sSup>
              </m:oMath>
            </m:oMathPara>
          </w:p>
        </w:tc>
        <w:tc>
          <w:tcPr>
            <w:tcW w:w="1114"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en-US"/>
              </w:rPr>
            </w:pPr>
            <w:r w:rsidRPr="009B2954">
              <w:rPr>
                <w:rFonts w:ascii="Times New Roman" w:hAnsi="Times New Roman"/>
                <w:b/>
                <w:noProof/>
                <w:sz w:val="20"/>
                <w:szCs w:val="20"/>
                <w:lang w:val="id-ID"/>
              </w:rPr>
              <w:t>t</w:t>
            </w:r>
            <w:r w:rsidR="009B2954">
              <w:rPr>
                <w:rFonts w:ascii="Times New Roman" w:hAnsi="Times New Roman"/>
                <w:b/>
                <w:noProof/>
                <w:sz w:val="20"/>
                <w:szCs w:val="20"/>
                <w:vertAlign w:val="subscript"/>
                <w:lang w:val="en-US"/>
              </w:rPr>
              <w:t>count</w:t>
            </w:r>
          </w:p>
        </w:tc>
        <w:tc>
          <w:tcPr>
            <w:tcW w:w="1108" w:type="dxa"/>
          </w:tcPr>
          <w:p w:rsidR="00894545" w:rsidRPr="009B2954" w:rsidRDefault="00894545" w:rsidP="000263CB">
            <w:pPr>
              <w:pStyle w:val="ListParagraph"/>
              <w:spacing w:after="0" w:line="240" w:lineRule="auto"/>
              <w:ind w:left="0"/>
              <w:jc w:val="center"/>
              <w:rPr>
                <w:rFonts w:ascii="Times New Roman" w:hAnsi="Times New Roman"/>
                <w:b/>
                <w:noProof/>
                <w:sz w:val="20"/>
                <w:szCs w:val="20"/>
                <w:lang w:val="en-US"/>
              </w:rPr>
            </w:pPr>
            <w:r w:rsidRPr="009B2954">
              <w:rPr>
                <w:rFonts w:ascii="Times New Roman" w:hAnsi="Times New Roman"/>
                <w:b/>
                <w:noProof/>
                <w:sz w:val="20"/>
                <w:szCs w:val="20"/>
                <w:lang w:val="id-ID"/>
              </w:rPr>
              <w:t>t</w:t>
            </w:r>
            <w:r w:rsidRPr="009B2954">
              <w:rPr>
                <w:rFonts w:ascii="Times New Roman" w:hAnsi="Times New Roman"/>
                <w:b/>
                <w:noProof/>
                <w:sz w:val="20"/>
                <w:szCs w:val="20"/>
                <w:vertAlign w:val="subscript"/>
                <w:lang w:val="id-ID"/>
              </w:rPr>
              <w:t>tab</w:t>
            </w:r>
            <w:r w:rsidR="009B2954">
              <w:rPr>
                <w:rFonts w:ascii="Times New Roman" w:hAnsi="Times New Roman"/>
                <w:b/>
                <w:noProof/>
                <w:sz w:val="20"/>
                <w:szCs w:val="20"/>
                <w:vertAlign w:val="subscript"/>
                <w:lang w:val="en-US"/>
              </w:rPr>
              <w:t>le</w:t>
            </w:r>
          </w:p>
        </w:tc>
      </w:tr>
      <w:tr w:rsidR="00894545" w:rsidRPr="009B2954" w:rsidTr="009B2954">
        <w:tc>
          <w:tcPr>
            <w:tcW w:w="2340" w:type="dxa"/>
          </w:tcPr>
          <w:p w:rsidR="00894545" w:rsidRPr="009B2954" w:rsidRDefault="009B2954" w:rsidP="000263CB">
            <w:pPr>
              <w:pStyle w:val="ListParagraph"/>
              <w:spacing w:after="0" w:line="240" w:lineRule="auto"/>
              <w:ind w:left="0"/>
              <w:jc w:val="center"/>
              <w:rPr>
                <w:rFonts w:ascii="Times New Roman" w:hAnsi="Times New Roman"/>
                <w:noProof/>
                <w:sz w:val="20"/>
                <w:szCs w:val="20"/>
                <w:lang w:val="id-ID"/>
              </w:rPr>
            </w:pPr>
            <w:r>
              <w:rPr>
                <w:rFonts w:ascii="Times New Roman" w:hAnsi="Times New Roman"/>
                <w:noProof/>
                <w:sz w:val="20"/>
                <w:szCs w:val="20"/>
                <w:lang w:val="id-ID"/>
              </w:rPr>
              <w:t>E</w:t>
            </w:r>
            <w:r>
              <w:rPr>
                <w:rFonts w:ascii="Times New Roman" w:hAnsi="Times New Roman"/>
                <w:noProof/>
                <w:sz w:val="20"/>
                <w:szCs w:val="20"/>
                <w:lang w:val="en-US"/>
              </w:rPr>
              <w:t>x</w:t>
            </w:r>
            <w:r w:rsidR="00894545" w:rsidRPr="009B2954">
              <w:rPr>
                <w:rFonts w:ascii="Times New Roman" w:hAnsi="Times New Roman"/>
                <w:noProof/>
                <w:sz w:val="20"/>
                <w:szCs w:val="20"/>
                <w:lang w:val="id-ID"/>
              </w:rPr>
              <w:t>perimen</w:t>
            </w:r>
            <w:r>
              <w:rPr>
                <w:rFonts w:ascii="Times New Roman" w:hAnsi="Times New Roman"/>
                <w:noProof/>
                <w:sz w:val="20"/>
                <w:szCs w:val="20"/>
                <w:lang w:val="en-US"/>
              </w:rPr>
              <w:t>tal</w:t>
            </w:r>
            <w:r>
              <w:rPr>
                <w:rFonts w:ascii="Times New Roman" w:hAnsi="Times New Roman"/>
                <w:noProof/>
                <w:sz w:val="20"/>
                <w:szCs w:val="20"/>
                <w:lang w:val="id-ID"/>
              </w:rPr>
              <w:t xml:space="preserve"> </w:t>
            </w:r>
            <w:r>
              <w:rPr>
                <w:rFonts w:ascii="Times New Roman" w:hAnsi="Times New Roman"/>
                <w:noProof/>
                <w:sz w:val="20"/>
                <w:szCs w:val="20"/>
                <w:lang w:val="en-US"/>
              </w:rPr>
              <w:t>Group I</w:t>
            </w:r>
            <w:r w:rsidR="00894545" w:rsidRPr="009B2954">
              <w:rPr>
                <w:rFonts w:ascii="Times New Roman" w:hAnsi="Times New Roman"/>
                <w:noProof/>
                <w:sz w:val="20"/>
                <w:szCs w:val="20"/>
                <w:lang w:val="id-ID"/>
              </w:rPr>
              <w:t xml:space="preserve"> (STAD)</w:t>
            </w:r>
          </w:p>
        </w:tc>
        <w:tc>
          <w:tcPr>
            <w:tcW w:w="851"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30</w:t>
            </w:r>
          </w:p>
        </w:tc>
        <w:tc>
          <w:tcPr>
            <w:tcW w:w="992"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75,48</w:t>
            </w:r>
          </w:p>
        </w:tc>
        <w:tc>
          <w:tcPr>
            <w:tcW w:w="992"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9,10</w:t>
            </w:r>
          </w:p>
        </w:tc>
        <w:tc>
          <w:tcPr>
            <w:tcW w:w="1119"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82,81</w:t>
            </w:r>
          </w:p>
        </w:tc>
        <w:tc>
          <w:tcPr>
            <w:tcW w:w="1114" w:type="dxa"/>
            <w:vMerge w:val="restart"/>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0,678</w:t>
            </w:r>
          </w:p>
        </w:tc>
        <w:tc>
          <w:tcPr>
            <w:tcW w:w="1108" w:type="dxa"/>
            <w:vMerge w:val="restart"/>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1,67</w:t>
            </w:r>
          </w:p>
        </w:tc>
      </w:tr>
      <w:tr w:rsidR="00894545" w:rsidRPr="009B2954" w:rsidTr="009B2954">
        <w:tc>
          <w:tcPr>
            <w:tcW w:w="2340" w:type="dxa"/>
          </w:tcPr>
          <w:p w:rsidR="00894545" w:rsidRPr="009B2954" w:rsidRDefault="009B2954" w:rsidP="000263CB">
            <w:pPr>
              <w:pStyle w:val="ListParagraph"/>
              <w:spacing w:after="0" w:line="240" w:lineRule="auto"/>
              <w:ind w:left="0"/>
              <w:jc w:val="center"/>
              <w:rPr>
                <w:rFonts w:ascii="Times New Roman" w:hAnsi="Times New Roman"/>
                <w:noProof/>
                <w:sz w:val="20"/>
                <w:szCs w:val="20"/>
                <w:lang w:val="id-ID"/>
              </w:rPr>
            </w:pPr>
            <w:r>
              <w:rPr>
                <w:rFonts w:ascii="Times New Roman" w:hAnsi="Times New Roman"/>
                <w:noProof/>
                <w:sz w:val="20"/>
                <w:szCs w:val="20"/>
                <w:lang w:val="id-ID"/>
              </w:rPr>
              <w:t>E</w:t>
            </w:r>
            <w:r>
              <w:rPr>
                <w:rFonts w:ascii="Times New Roman" w:hAnsi="Times New Roman"/>
                <w:noProof/>
                <w:sz w:val="20"/>
                <w:szCs w:val="20"/>
                <w:lang w:val="en-US"/>
              </w:rPr>
              <w:t>x</w:t>
            </w:r>
            <w:r w:rsidR="00894545" w:rsidRPr="009B2954">
              <w:rPr>
                <w:rFonts w:ascii="Times New Roman" w:hAnsi="Times New Roman"/>
                <w:noProof/>
                <w:sz w:val="20"/>
                <w:szCs w:val="20"/>
                <w:lang w:val="id-ID"/>
              </w:rPr>
              <w:t>perimen</w:t>
            </w:r>
            <w:r>
              <w:rPr>
                <w:rFonts w:ascii="Times New Roman" w:hAnsi="Times New Roman"/>
                <w:noProof/>
                <w:sz w:val="20"/>
                <w:szCs w:val="20"/>
                <w:lang w:val="en-US"/>
              </w:rPr>
              <w:t>tal</w:t>
            </w:r>
            <w:r w:rsidR="00894545" w:rsidRPr="009B2954">
              <w:rPr>
                <w:rFonts w:ascii="Times New Roman" w:hAnsi="Times New Roman"/>
                <w:noProof/>
                <w:sz w:val="20"/>
                <w:szCs w:val="20"/>
                <w:lang w:val="id-ID"/>
              </w:rPr>
              <w:t xml:space="preserve"> </w:t>
            </w:r>
            <w:r>
              <w:rPr>
                <w:rFonts w:ascii="Times New Roman" w:hAnsi="Times New Roman"/>
                <w:noProof/>
                <w:sz w:val="20"/>
                <w:szCs w:val="20"/>
                <w:lang w:val="en-US"/>
              </w:rPr>
              <w:t xml:space="preserve">Group </w:t>
            </w:r>
            <w:r w:rsidR="00894545" w:rsidRPr="009B2954">
              <w:rPr>
                <w:rFonts w:ascii="Times New Roman" w:hAnsi="Times New Roman"/>
                <w:noProof/>
                <w:sz w:val="20"/>
                <w:szCs w:val="20"/>
                <w:lang w:val="id-ID"/>
              </w:rPr>
              <w:t>II (CIRC)</w:t>
            </w:r>
          </w:p>
        </w:tc>
        <w:tc>
          <w:tcPr>
            <w:tcW w:w="851"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29</w:t>
            </w:r>
          </w:p>
        </w:tc>
        <w:tc>
          <w:tcPr>
            <w:tcW w:w="992"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73,5</w:t>
            </w:r>
          </w:p>
        </w:tc>
        <w:tc>
          <w:tcPr>
            <w:tcW w:w="992"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12,71</w:t>
            </w:r>
          </w:p>
        </w:tc>
        <w:tc>
          <w:tcPr>
            <w:tcW w:w="1119" w:type="dxa"/>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r w:rsidRPr="009B2954">
              <w:rPr>
                <w:rFonts w:ascii="Times New Roman" w:hAnsi="Times New Roman"/>
                <w:noProof/>
                <w:sz w:val="20"/>
                <w:szCs w:val="20"/>
                <w:lang w:val="id-ID"/>
              </w:rPr>
              <w:t>161,54</w:t>
            </w:r>
          </w:p>
        </w:tc>
        <w:tc>
          <w:tcPr>
            <w:tcW w:w="1114" w:type="dxa"/>
            <w:vMerge/>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p>
        </w:tc>
        <w:tc>
          <w:tcPr>
            <w:tcW w:w="1108" w:type="dxa"/>
            <w:vMerge/>
            <w:vAlign w:val="center"/>
          </w:tcPr>
          <w:p w:rsidR="00894545" w:rsidRPr="009B2954" w:rsidRDefault="00894545" w:rsidP="000263CB">
            <w:pPr>
              <w:pStyle w:val="ListParagraph"/>
              <w:spacing w:after="0" w:line="240" w:lineRule="auto"/>
              <w:ind w:left="0"/>
              <w:jc w:val="center"/>
              <w:rPr>
                <w:rFonts w:ascii="Times New Roman" w:hAnsi="Times New Roman"/>
                <w:noProof/>
                <w:sz w:val="20"/>
                <w:szCs w:val="20"/>
                <w:lang w:val="id-ID"/>
              </w:rPr>
            </w:pPr>
          </w:p>
        </w:tc>
      </w:tr>
    </w:tbl>
    <w:p w:rsidR="00894545" w:rsidRPr="00430EF7" w:rsidRDefault="00894545" w:rsidP="00894545">
      <w:pPr>
        <w:pStyle w:val="ListParagraph"/>
        <w:spacing w:after="0" w:line="240" w:lineRule="auto"/>
        <w:ind w:left="0" w:firstLine="709"/>
        <w:jc w:val="both"/>
        <w:rPr>
          <w:rFonts w:ascii="Times New Roman" w:hAnsi="Times New Roman"/>
          <w:noProof/>
          <w:sz w:val="24"/>
          <w:lang w:val="id-ID"/>
        </w:rPr>
      </w:pPr>
    </w:p>
    <w:p w:rsidR="00894545" w:rsidRPr="009B2954" w:rsidRDefault="009B2954" w:rsidP="00894545">
      <w:pPr>
        <w:pStyle w:val="ListParagraph"/>
        <w:spacing w:after="0" w:line="240" w:lineRule="auto"/>
        <w:ind w:left="0" w:firstLine="709"/>
        <w:jc w:val="both"/>
        <w:rPr>
          <w:rFonts w:ascii="Times New Roman" w:hAnsi="Times New Roman"/>
          <w:noProof/>
          <w:sz w:val="24"/>
          <w:szCs w:val="24"/>
          <w:lang w:val="en-US"/>
        </w:rPr>
      </w:pPr>
      <w:r w:rsidRPr="009B2954">
        <w:rPr>
          <w:rFonts w:ascii="Times New Roman" w:hAnsi="Times New Roman"/>
          <w:noProof/>
          <w:sz w:val="24"/>
          <w:lang w:val="id-ID"/>
        </w:rPr>
        <w:t>Table 4 above shows that at alpha (α) 0.05, the t-count is 0.678 and the t-table is 1.67. The hypothesis is accepted if t-count&gt; t-table. Based on the hypothesis test, it was concluded that there was no significant difference in learning outcomes to understand students' poetry using the STAD and CIRC models. Hypothesis test results show that the difference in learning outcomes of the two groups is not significant. This can also be seen from the mean learning outcomes in the two experimental groups which were not much different. The mean difference in learning outcomes to understand poetry in the two experimental groups was around 1.98. Thus it is concluded that the two learning models are effectively used in the learning process to understand poetry. These results also indicate that the two learning models have their own uniqueness so that they can be used in poetry learning. Both learning models are equally suitable for use in learning poetry. Learning to understand poetry will be followed by students if they understand well the poetry given by the teacher. The STAD and CIRC models have helped increase students' enthusiasm to understand every aspect of poetry. Students are not only required to be able to explain the physical structure of poetry but also the inner structure of the poetry so that with their intuition, they can interpret poetry.</w:t>
      </w:r>
    </w:p>
    <w:p w:rsidR="00894545" w:rsidRPr="00430EF7" w:rsidRDefault="00D943F6"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r w:rsidRPr="00D943F6">
        <w:rPr>
          <w:rFonts w:ascii="Times New Roman" w:eastAsia="Times New Roman" w:hAnsi="Times New Roman" w:cs="Times New Roman"/>
          <w:noProof/>
          <w:color w:val="000000"/>
          <w:sz w:val="24"/>
          <w:szCs w:val="24"/>
          <w:lang w:val="id-ID"/>
        </w:rPr>
        <w:t xml:space="preserve">It can be said that learning to understand poetry as part of poetry appreciation activities can be carried out by applying the STAD and CIRC models. Both models </w:t>
      </w:r>
      <w:r w:rsidRPr="00D943F6">
        <w:rPr>
          <w:rFonts w:ascii="Times New Roman" w:eastAsia="Times New Roman" w:hAnsi="Times New Roman" w:cs="Times New Roman"/>
          <w:noProof/>
          <w:color w:val="000000"/>
          <w:sz w:val="24"/>
          <w:szCs w:val="24"/>
          <w:lang w:val="id-ID"/>
        </w:rPr>
        <w:lastRenderedPageBreak/>
        <w:t>facilitate a meaningful learning process for students. Meaningful learning can help students to form and discover new knowledge from the learning process so that it has an impact on their interest and ability in learning</w:t>
      </w:r>
      <w:r>
        <w:rPr>
          <w:rFonts w:ascii="Times New Roman" w:eastAsia="Times New Roman" w:hAnsi="Times New Roman" w:cs="Times New Roman"/>
          <w:noProof/>
          <w:color w:val="000000"/>
          <w:sz w:val="24"/>
          <w:szCs w:val="24"/>
          <w:lang w:val="id-ID"/>
        </w:rPr>
        <w:t>, especially poetry</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10.24235/ileal.v3i2.1575","author":[{"dropping-particle":"","family":"Rahayu","given":"Erni","non-dropping-particle":"","parse-names":false,"suffix":""},{"dropping-particle":"","family":"Rohmadi","given":"Muhammad","non-dropping-particle":"","parse-names":false,"suffix":""},{"dropping-particle":"","family":"Andayani","given":"Andayani","non-dropping-particle":"","parse-names":false,"suffix":""}],"container-title":"Indonesian Language Education and Literature","id":"ITEM-1","issue":"2","issued":{"date-parts":[["2018"]]},"page":"123-130","title":"Meningkatkan Minat dan Kemampuan Menulis Puisi","type":"article-journal","volume":"3"},"uris":["http://www.mendeley.com/documents/?uuid=a68e049b-4e4f-469e-8c97-1eafaa942095"]}],"mendeley":{"formattedCitation":"(Rahayu, Rohmadi, &amp; Andayani, 2018)","plainTextFormattedCitation":"(Rahayu, Rohmadi, &amp; Andayani, 2018)","previouslyFormattedCitation":"(Rahayu, Rohmadi, &amp; Andayani, 2018)"},"properties":{"noteIndex":0},"schema":"https://github.com/citation-style-language/schema/raw/master/csl-citation.json"}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(Rahayu, Rohmadi, &amp; Andayani, 2018)</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D943F6">
        <w:rPr>
          <w:rFonts w:ascii="Times New Roman" w:eastAsia="Times New Roman" w:hAnsi="Times New Roman" w:cs="Times New Roman"/>
          <w:noProof/>
          <w:color w:val="000000"/>
          <w:sz w:val="24"/>
          <w:szCs w:val="24"/>
          <w:lang w:val="id-ID"/>
        </w:rPr>
        <w:t>Student interest in learning poetry will increasingly emerge with the teacher providing poetry that contains themes that are close to students, for example, themes containing character education</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{"citationItems":[{"id":"ITEM-1","itemData":{"author":[{"dropping-particle":"","family":"Ulya","given":"Chafit","non-dropping-particle":"","parse-names":false,"suffix":""},{"dropping-particle":"","family":"Wardani","given":"Nugraheni Eko","non-dropping-particle":"","parse-names":false,"suffix":""},{"dropping-particle":"","family":"Mujiyanto","given":"Yant","non-dropping-particle":"","parse-names":false,"suffix":""}],"container-title":"Journal Indonesian Language Education and Literature","id":"ITEM-1","issue":"1","issued":{"date-parts":[["2016"]]},"page":"60-75","title":"Muatan Pendidikan Antikorupsi dalam Mata Kuliah Pengkajian dan Apresiasi Puisi di Jawa Tengah dan Yogyakarta","type":"article-journal","volume":"2"},"uris":["http://www.mendeley.com/documents/?uuid=40eeb33d-27a0-4d33-9837-5e2cf1ff7d34"]}],"mendeley":{"formattedCitation":"(Ulya, Wardani, &amp; Mujiyanto, 2016)","plainTextFormattedCitation":"(Ulya, Wardani, &amp; Mujiyanto, 2016)","previouslyFormattedCitation":"(Ulya, Wardani, &amp; Mujiyanto, 2016)"},"properties":{"noteIndex":0},"schema":"https://github.com/citation-style-language/schema/raw/master/csl-citation.json"}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(Ulya, Wardani, &amp; Mujiyanto, 2016)</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D943F6">
        <w:rPr>
          <w:rFonts w:ascii="Times New Roman" w:eastAsia="Times New Roman" w:hAnsi="Times New Roman" w:cs="Times New Roman"/>
          <w:noProof/>
          <w:color w:val="000000"/>
          <w:sz w:val="24"/>
          <w:szCs w:val="24"/>
          <w:lang w:val="id-ID"/>
        </w:rPr>
        <w:t>and the implementation of learning using a certain model is integrated with elements of local wisdom</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{"citationItems":[{"id":"ITEM-1","itemData":{"author":[{"dropping-particle":"","family":"Ramadhanti","given":"Dina","non-dropping-particle":"","parse-names":false,"suffix":""}],"container-title":"ISLLAC: Journal of Intensive Studies on Language, Literature, Art, and Culture","id":"ITEM-1","issue":"1","issued":{"date-parts":[["2019"]]},"title":"The Joli-Joli's Game In The Writing Poetry: A Culturally Responsive Meaningful Learning Model","type":"article-journal","volume":"3"},"uris":["http://www.mendeley.com/documents/?uuid=d7b31e03-e7c2-48c8-84e0-41977bd65ed3"]}],"mendeley":{"formattedCitation":"(Ramadhanti, 2019)","plainTextFormattedCitation":"(Ramadhanti, 2019)","previouslyFormattedCitation":"(Ramadhanti, 2019)"},"properties":{"noteIndex":0},"schema":"https://github.com/citation-style-language/schema/raw/master/csl-citation.json"}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(Ramadhanti, 2019)</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D943F6">
        <w:rPr>
          <w:rFonts w:ascii="Times New Roman" w:eastAsia="Times New Roman" w:hAnsi="Times New Roman" w:cs="Times New Roman"/>
          <w:noProof/>
          <w:color w:val="000000"/>
          <w:sz w:val="24"/>
          <w:szCs w:val="24"/>
          <w:lang w:val="id-ID"/>
        </w:rPr>
        <w:t>Teachers may introduce poetry that is close to their social environment so that they are more sensitive in interpreting poetry. Thus, students not only understand poetry theoretically but also can appreciate poetry according to the things they understand in their daily environment. This can be realized by using the STAD and CIRC learning models.</w:t>
      </w:r>
    </w:p>
    <w:p w:rsidR="00894545" w:rsidRPr="00430EF7" w:rsidRDefault="00D943F6"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r w:rsidRPr="00D943F6">
        <w:rPr>
          <w:rFonts w:ascii="Times New Roman" w:eastAsia="Times New Roman" w:hAnsi="Times New Roman" w:cs="Times New Roman"/>
          <w:noProof/>
          <w:color w:val="000000"/>
          <w:sz w:val="24"/>
          <w:szCs w:val="24"/>
          <w:lang w:val="id-ID"/>
        </w:rPr>
        <w:t xml:space="preserve">The STAD and CIRC models are equally effective in the learning process. The STAD model is very effective in the learning process to understand poetry because each stage teaches students to improve their understanding through activities that increase learning motivation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{"citationItems":[{"id":"ITEM-1","itemData":{"author":[{"dropping-particle":"","family":"Yanda","given":"Diyan Permata","non-dropping-particle":"","parse-names":false,"suffix":""}],"container-title":"Sixth Int. Conf. Lang. Arts (ICLA 2017)","id":"ITEM-1","issue":"Icla 2017","issued":{"date-parts":[["2018"]]},"page":"403-407","title":"Effect of Cooperative Learning Model Type Student Team Achievement Division ( STAD ) on Skill Understanding Poetry","type":"paper-conference","volume":"148"},"uris":["http://www.mendeley.com/documents/?uuid=52af1108-c1fb-47f1-926c-c5f3029f7c14"]}],"mendeley":{"formattedCitation":"(Diyan Permata Yanda, 2018)","manualFormatting":"(Yanda, 2018)","plainTextFormattedCitation":"(Diyan Permata Yanda, 2018)","previouslyFormattedCitation":"(Diyan Permata Yanda, 2018)"},"properties":{"noteIndex":0},"schema":"https://github.com/citation-style-language/schema/raw/master/csl-citation.json"}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(Yanda, 2018)</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D943F6">
        <w:rPr>
          <w:rFonts w:ascii="Times New Roman" w:eastAsia="Times New Roman" w:hAnsi="Times New Roman" w:cs="Times New Roman"/>
          <w:noProof/>
          <w:color w:val="000000"/>
          <w:sz w:val="24"/>
          <w:szCs w:val="24"/>
          <w:lang w:val="id-ID"/>
        </w:rPr>
        <w:t>STAD combines and develops creativity among students through connectivity and direct collaboration which empowers learning that is fun for students</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{"citationItems":[{"id":"ITEM-1","itemData":{"DOI":"10.6007/IJARBSS/v8-i2/3966","author":[{"dropping-particle":"","family":"Jamaludin","given":"Mazlina","non-dropping-particle":"","parse-names":false,"suffix":""},{"dropping-particle":"","family":"Mokhtar","given":"Muhammad Fauzi","non-dropping-particle":"","parse-names":false,"suffix":""}],"container-title":"International Journal of Academic Research in Bussiness and Social Sciences","id":"ITEM-1","issue":"2","issued":{"date-parts":[["2018"]]},"page":"570-577","title":"Students Team Achievement Division","type":"article-journal","volume":"8"},"uris":["http://www.mendeley.com/documents/?uuid=cc73e77c-6a34-4bbc-8452-8557e38ed870"]}],"mendeley":{"formattedCitation":"(Jamaludin &amp; Mokhtar, 2018)","plainTextFormattedCitation":"(Jamaludin &amp; Mokhtar, 2018)","previouslyFormattedCitation":"(Jamaludin &amp; Mokhtar, 2018)"},"properties":{"noteIndex":0},"schema":"https://github.com/citation-style-language/schema/raw/master/csl-citation.json"}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(Jamaludin &amp; Mokhtar, 2018)</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D943F6">
        <w:rPr>
          <w:rFonts w:ascii="Times New Roman" w:eastAsia="Times New Roman" w:hAnsi="Times New Roman" w:cs="Times New Roman"/>
          <w:noProof/>
          <w:color w:val="000000"/>
          <w:sz w:val="24"/>
          <w:szCs w:val="24"/>
          <w:lang w:val="id-ID"/>
        </w:rPr>
        <w:t>while CIRC emphasizes reading comprehension and writing down things that have been understood. This activity motivates each student to improve their reading comprehension skills. Moreover, high reading interest and the ability of students to understand poetry elements will have an impact on other levels of poetry appreciation, namely writing poetry</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{"citationItems":[{"id":"ITEM-1","itemData":{"DOI":"10.22202/JG.2016.v2i2.1087","author":[{"dropping-particle":"","family":"Sari","given":"Asri Wahyuni","non-dropping-particle":"","parse-names":false,"suffix":""},{"dropping-particle":"","family":"Yanda","given":"Diyan Permata","non-dropping-particle":"","parse-names":false,"suffix":""}],"container-title":"Jurnal Gramatika: Jurnal Penelitian Pendidikan Bahasa dan Sastra Indonesia","id":"ITEM-1","issue":"2","issued":{"date-parts":[["2016"]]},"page":"179-193","title":"Kontribusi Minat Baca Puisi dan Penguasaan Gaya Bahasa terhadap Keterampilan Menulis Puisi Bebas Siswa Kelas IX SMP Negeri 2 Lembah Gumanti","type":"article-journal","volume":"2"},"uris":["http://www.mendeley.com/documents/?uuid=f64eba8d-ebec-461e-965b-1160e461d179"]}],"mendeley":{"formattedCitation":"(Sari &amp; Yanda, 2016)","plainTextFormattedCitation":"(Sari &amp; Yanda, 2016)","previouslyFormattedCitation":"(Sari &amp; Yanda, 2016)"},"properties":{"noteIndex":0},"schema":"https://github.com/citation-style-language/schema/raw/master/csl-citation.json"}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(Sari &amp; Yanda, 2016)</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001E3207" w:rsidRPr="001E3207">
        <w:rPr>
          <w:rFonts w:ascii="Times New Roman" w:eastAsia="Times New Roman" w:hAnsi="Times New Roman" w:cs="Times New Roman"/>
          <w:noProof/>
          <w:color w:val="000000"/>
          <w:sz w:val="24"/>
          <w:szCs w:val="24"/>
          <w:lang w:val="id-ID"/>
        </w:rPr>
        <w:t>In addition, by applying this cooperative model, students who have a low reading interest will be motivated in the learning process because of tea</w:t>
      </w:r>
      <w:r w:rsidR="001E3207">
        <w:rPr>
          <w:rFonts w:ascii="Times New Roman" w:eastAsia="Times New Roman" w:hAnsi="Times New Roman" w:cs="Times New Roman"/>
          <w:noProof/>
          <w:color w:val="000000"/>
          <w:sz w:val="24"/>
          <w:szCs w:val="24"/>
          <w:lang w:val="id-ID"/>
        </w:rPr>
        <w:t>mwork in completing assignments</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{"citationItems":[{"id":"ITEM-1","itemData":{"DOI":"10.21831/cp.v38i3.20675","author":[{"dropping-particle":"","family":"Ramadhanti","given":"Dina","non-dropping-particle":"","parse-names":false,"suffix":""},{"dropping-particle":"","family":"Yanda","given":"Diyan Permata","non-dropping-particle":"","parse-names":false,"suffix":""}],"container-title":"Cakrawala Pendidikan","id":"ITEM-1","issue":"3","issued":{"date-parts":[["2018"]]},"page":"436-446","title":"Understanding Poetry Through the Use of Cooperative Learning Model","type":"article-journal","volume":"XXXVII"},"uris":["http://www.mendeley.com/documents/?uuid=e834fedb-6705-4e59-aa20-fe219d4f6afa"]}],"mendeley":{"formattedCitation":"(Ramadhanti &amp; Yanda, 2018)","plainTextFormattedCitation":"(Ramadhanti &amp; Yanda, 2018)","previouslyFormattedCitation":"(Ramadhanti &amp; Yanda, 2018)"},"properties":{"noteIndex":0},"schema":"https://github.com/citation-style-language/schema/raw/master/csl-citation.json"}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(Ramadhanti &amp; Yanda, 2018)</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w:t>
      </w:r>
    </w:p>
    <w:p w:rsidR="00894545" w:rsidRPr="00430EF7" w:rsidRDefault="001E3207"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r w:rsidRPr="001E3207">
        <w:rPr>
          <w:rFonts w:ascii="Times New Roman" w:eastAsia="Times New Roman" w:hAnsi="Times New Roman" w:cs="Times New Roman"/>
          <w:noProof/>
          <w:color w:val="000000"/>
          <w:sz w:val="24"/>
          <w:szCs w:val="24"/>
          <w:lang w:val="id-ID"/>
        </w:rPr>
        <w:t>The STAD model contains five main components, namely presentations, teamwork, giving quizzes, calculating individual progress scores, and group recognition giving good potential in the learning process. Students can find out their learning weaknesses because the learning outcome scores are continuously calculated and compared with the initial score. Students who score low will be motivated to study harder to increase their individual scores. Thus it is stated that the STAD model is very effective in improving language skills, creating interactive and interesting classes, and motivating students to be more</w:t>
      </w:r>
      <w:r>
        <w:rPr>
          <w:rFonts w:ascii="Times New Roman" w:eastAsia="Times New Roman" w:hAnsi="Times New Roman" w:cs="Times New Roman"/>
          <w:noProof/>
          <w:color w:val="000000"/>
          <w:sz w:val="24"/>
          <w:szCs w:val="24"/>
          <w:lang w:val="id-ID"/>
        </w:rPr>
        <w:t xml:space="preserve"> active in the learning process</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{"citationItems":[{"id":"ITEM-1","itemData":{"author":[{"dropping-particle":"","family":"Firnanda","given":"Rahmat","non-dropping-particle":"","parse-names":false,"suffix":""},{"dropping-particle":"","family":"Gani","given":"Sofyan A","non-dropping-particle":"","parse-names":false,"suffix":""},{"dropping-particle":"","family":"Samad","given":"Iskandar Abdul","non-dropping-particle":"","parse-names":false,"suffix":""}],"container-title":"English Education Journal (EEJ)","id":"ITEM-1","issue":"1","issued":{"date-parts":[["2019"]]},"page":"46-66","title":"The Influence of Student Team-Achievement Divisions (STAD) in Developing Students' Speaking Skill","type":"article-journal","volume":"10"},"uris":["http://www.mendeley.com/documents/?uuid=9b9126af-480d-48be-9317-1b070e0473e0"]}],"mendeley":{"formattedCitation":"(Firnanda et al., 2019)","plainTextFormattedCitation":"(Firnanda et al., 2019)","previouslyFormattedCitation":"(Firnanda et al., 2019)"},"properties":{"noteIndex":0},"schema":"https://github.com/citation-style-language/schema/raw/master/csl-citation.json"}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(Firnanda et al., 2019)</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1E3207">
        <w:rPr>
          <w:rFonts w:ascii="Times New Roman" w:eastAsia="Times New Roman" w:hAnsi="Times New Roman" w:cs="Times New Roman"/>
          <w:noProof/>
          <w:color w:val="000000"/>
          <w:sz w:val="24"/>
          <w:szCs w:val="24"/>
          <w:lang w:val="id-ID"/>
        </w:rPr>
        <w:t>The uniqueness of the STAD model lies in the rewards provided by the lecturers in learning. Each individual in the group must be able to give the best for the group. Students who have low abilities must be able to follow students who have high abilities in order to contribute points to their group because only the best group with the highest score can get the reward. The scoring is given to each individual. Individual scores are calculated into group scores. The group with the highest score will be called the best group. The activities carried out are not just an effort to collect scores, but how the scores obtained can show the quality of each individual. The final goal of learning poetry is that students can understand the physical structure and inner structure of poetry from various titles and poets and from various anthologies of poetry that are read. In the end, students could not only understand and recite poetry but also interpret poetry.</w:t>
      </w:r>
    </w:p>
    <w:p w:rsidR="00894545" w:rsidRDefault="001E3207"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en-US"/>
        </w:rPr>
      </w:pPr>
      <w:r w:rsidRPr="001E3207">
        <w:rPr>
          <w:rFonts w:ascii="Times New Roman" w:eastAsia="Times New Roman" w:hAnsi="Times New Roman" w:cs="Times New Roman"/>
          <w:noProof/>
          <w:color w:val="000000"/>
          <w:sz w:val="24"/>
          <w:szCs w:val="24"/>
          <w:lang w:val="id-ID"/>
        </w:rPr>
        <w:t xml:space="preserve">Similar to the STAD model, the CIRC model is also very effective in the learning process of poetry because it has strength in reading comprehension. Students who have weaknesses in reading can be motivated in learning because, during this process, the teacher acts as a facilitator and continues to guide students while </w:t>
      </w:r>
      <w:r w:rsidRPr="001E3207">
        <w:rPr>
          <w:rFonts w:ascii="Times New Roman" w:eastAsia="Times New Roman" w:hAnsi="Times New Roman" w:cs="Times New Roman"/>
          <w:noProof/>
          <w:color w:val="000000"/>
          <w:sz w:val="24"/>
          <w:szCs w:val="24"/>
          <w:lang w:val="id-ID"/>
        </w:rPr>
        <w:lastRenderedPageBreak/>
        <w:t xml:space="preserve">understanding the reading. All of these activities have an impact on improving the quality of student learning. The CIRC model is proven to have the potential to improve students 'language skills, improve social skills among students, and have a positive impact on improving </w:t>
      </w:r>
      <w:r>
        <w:rPr>
          <w:rFonts w:ascii="Times New Roman" w:eastAsia="Times New Roman" w:hAnsi="Times New Roman" w:cs="Times New Roman"/>
          <w:noProof/>
          <w:color w:val="000000"/>
          <w:sz w:val="24"/>
          <w:szCs w:val="24"/>
          <w:lang w:val="id-ID"/>
        </w:rPr>
        <w:t>students' reading comprehension</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{"citationItems":[{"id":"ITEM-1","itemData":{"DOI":"10.4108/eai.23-3-2019.2284977","author":[{"dropping-particle":"","family":"Yanda","given":"D P","non-dropping-particle":"","parse-names":false,"suffix":""},{"dropping-particle":"","family":"Ramadhanti","given":"D","non-dropping-particle":"","parse-names":false,"suffix":""},{"dropping-particle":"","family":"Afrinda","given":"P D","non-dropping-particle":"","parse-names":false,"suffix":""},{"dropping-particle":"","family":"Bahardur","given":"I","non-dropping-particle":"","parse-names":false,"suffix":""},{"dropping-particle":"","family":"Ihsan","given":"M K","non-dropping-particle":"","parse-names":false,"suffix":""}],"container-title":"ICEL 2019, March 23-24, Malang, Indonesia","id":"ITEM-1","issued":{"date-parts":[["2019"]]},"title":"The Potential of Circ’s Model in Poetry Learning at Higher Education","type":"paper-conference"},"uris":["http://www.mendeley.com/documents/?uuid=5c997cdd-9c65-4b41-96f3-45f4084a08c8"]}],"mendeley":{"formattedCitation":"(D P Yanda, Ramadhanti, Afrinda, Bahardur, &amp; Ihsan, 2019)","plainTextFormattedCitation":"(D P Yanda, Ramadhanti, Afrinda, Bahardur, &amp; Ihsan, 2019)","previouslyFormattedCitation":"(D P Yanda, Ramadhanti, Afrinda, Bahardur, &amp; Ihsan, 2019)"},"properties":{"noteIndex":0},"schema":"https://github.com/citation-style-language/schema/raw/master/csl-citation.json"}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(D P Yanda, Ramadhanti, Afrinda, Bahardur, &amp; Ihsan, 2019)</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1E3207">
        <w:rPr>
          <w:rFonts w:ascii="Times New Roman" w:eastAsia="Times New Roman" w:hAnsi="Times New Roman" w:cs="Times New Roman"/>
          <w:noProof/>
          <w:color w:val="000000"/>
          <w:sz w:val="24"/>
          <w:szCs w:val="24"/>
          <w:lang w:val="id-ID"/>
        </w:rPr>
        <w:t>The uniqueness of the CIRC model lies in the full attention to the reading interest of students. Before starting the lesson, the lecturer must know the students' reading interest as a basis for group division and to guide students to think actively. Students with high interest motivate students who have a low reading interest to increase their reading interest. In this activity, students who have a high reading interest are trained to be able to work together and respect students who have a low reading interest. Students who have a low reading interest are also trained to be able to accept suggestions and criticism from students who have a high reading interest and continue to strive so that they can follow the learning methods of students who have a high reading interest. The collaboration that is carried out greatly influences the next stage, namely writing collaborative results on the reading in the form of a short essay. In this case, students understand the poetry in pairs and then write down the collaborative results individually in the form of short essays. The short essay contains students' interpretations of the meaning contained in the poetry. At the writing stage, students also work together and correct each other so that the resulting writing meets the criteria, especially in the form of grammatical and mechanical accuracy</w:t>
      </w:r>
      <w:r w:rsidR="00894545" w:rsidRPr="00430EF7">
        <w:rPr>
          <w:rFonts w:ascii="Times New Roman" w:eastAsia="Times New Roman" w:hAnsi="Times New Roman" w:cs="Times New Roman"/>
          <w:noProof/>
          <w:color w:val="000000"/>
          <w:sz w:val="24"/>
          <w:szCs w:val="24"/>
          <w:lang w:val="id-ID"/>
        </w:rPr>
        <w:t xml:space="preserve">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{"citationItems":[{"id":"ITEM-1","itemData":{"DOI":"10.32934/jmie.v1i1.28","ISSN":"2580-0868","abstract":"Many aspects of life need reading activities. Reading to understand the meaning of words called reading comprehension. This study is using descriptive analysis to determine how the implementation of the Cooperative Integrated Reading and Composition (CIRC) to promote reading comprehension. The aspects in reading comprehension are: a) the ability to grasp the meaning of words and phrases used by the author, b) the ability to grasp the meaning of explicit and implicit meaning, c) the ability to make inferences. Steps in the CIRC are: a) forming a group with four to five students are heterogeneous, b) the teacher gives an explaining in accompliance with the learning topics, c) students work together, reading and find the main idea and give a response to the discourse and written on a sheet of paper, d) presented the results of the group, e) the teacher makes a conclusion with his students, f) ending the class. Implementation CIRC in reading comprehension are already visible in measures of activities so that learning objectives can be achieved and reading comprehension can also be developed. Implementation CIRC in reading comprehension can be used by further research using distinct methodologies.","author":[{"dropping-particle":"","family":"Ginting","given":"Dina Rahma Br","non-dropping-particle":"","parse-names":false,"suffix":""}],"container-title":"Advances in Social Science, Education and Humanities Research.","id":"ITEM-1","issue":"1","issued":{"date-parts":[["2017"]]},"page":"113-117","title":"The Implementation of Cooperative Integrated Reading and Composition Strategy to Improve the Students' Ability in Reading Comprehension","type":"paper-conference","volume":"1"},"uris":["http://www.mendeley.com/documents/?uuid=463b3421-100b-41c3-85ff-314c7c113210"]}],"mendeley":{"formattedCitation":"(Ginting, 2017)","plainTextFormattedCitation":"(Ginting, 2017)","previouslyFormattedCitation":"(Ginting, 2017)"},"properties":{"noteIndex":0},"schema":"https://github.com/citation-style-language/schema/raw/master/csl-citation.json"}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(Ginting, 2017)</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1E3207">
        <w:rPr>
          <w:rFonts w:ascii="Times New Roman" w:eastAsia="Times New Roman" w:hAnsi="Times New Roman" w:cs="Times New Roman"/>
          <w:noProof/>
          <w:color w:val="000000"/>
          <w:sz w:val="24"/>
          <w:szCs w:val="24"/>
          <w:lang w:val="id-ID"/>
        </w:rPr>
        <w:t xml:space="preserve">Learning activities carried out with the CIRC model contain a series of cognitive activities so that students are able to reconstruct subject matter and their knowledge can be stored in long-term memory </w:t>
      </w:r>
      <w:r w:rsidR="00894545" w:rsidRPr="00430EF7">
        <w:rPr>
          <w:rFonts w:ascii="Times New Roman" w:eastAsia="Times New Roman" w:hAnsi="Times New Roman" w:cs="Times New Roman"/>
          <w:noProof/>
          <w:color w:val="000000"/>
          <w:sz w:val="24"/>
          <w:szCs w:val="24"/>
          <w:lang w:val="id-ID"/>
        </w:rPr>
        <w:fldChar w:fldCharType="begin" w:fldLock="1"/>
      </w:r>
      <w:r w:rsidR="00894545" w:rsidRPr="00430EF7">
        <w:rPr>
          <w:rFonts w:ascii="Times New Roman" w:eastAsia="Times New Roman" w:hAnsi="Times New Roman" w:cs="Times New Roman"/>
          <w:noProof/>
          <w:color w:val="000000"/>
          <w:sz w:val="24"/>
          <w:szCs w:val="24"/>
          <w:lang w:val="id-ID"/>
        </w:rPr>
        <w:instrText>ADDIN CSL_CITATION {"citationItems":[{"id":"ITEM-1","itemData":{"author":[{"dropping-particle":"","family":"Ristanto","given":"Rizhal Hendi","non-dropping-particle":"","parse-names":false,"suffix":""},{"dropping-particle":"","family":"Zubaidah","given":"Siti","non-dropping-particle":"","parse-names":false,"suffix":""},{"dropping-particle":"","family":"Amin","given":"Mohamad","non-dropping-particle":"","parse-names":false,"suffix":""},{"dropping-particle":"","family":"Rohman","given":"Fatchur","non-dropping-particle":"","parse-names":false,"suffix":""}],"container-title":"International Journal of Educational Research Review","id":"ITEM-1","issue":"1","issued":{"date-parts":[["2018"]]},"page":"50-56","title":"The Potential of Cooperative Integrated Reading and Composition in Biology Learning at Higher Education","type":"article-journal","volume":"3"},"uris":["http://www.mendeley.com/documents/?uuid=fb18e08b-a889-4121-9bb2-c302cfd90801"]}],"mendeley":{"formattedCitation":"(Ristanto, Zubaidah, Amin, &amp; Rohman, 2018)","plainTextFormattedCitation":"(Ristanto, Zubaidah, Amin, &amp; Rohman, 2018)"},"properties":{"noteIndex":0},"schema":"https://github.com/citation-style-language/schema/raw/master/csl-citation.json"}</w:instrText>
      </w:r>
      <w:r w:rsidR="00894545" w:rsidRPr="00430EF7">
        <w:rPr>
          <w:rFonts w:ascii="Times New Roman" w:eastAsia="Times New Roman" w:hAnsi="Times New Roman" w:cs="Times New Roman"/>
          <w:noProof/>
          <w:color w:val="000000"/>
          <w:sz w:val="24"/>
          <w:szCs w:val="24"/>
          <w:lang w:val="id-ID"/>
        </w:rPr>
        <w:fldChar w:fldCharType="separate"/>
      </w:r>
      <w:r w:rsidR="00894545" w:rsidRPr="00430EF7">
        <w:rPr>
          <w:rFonts w:ascii="Times New Roman" w:eastAsia="Times New Roman" w:hAnsi="Times New Roman" w:cs="Times New Roman"/>
          <w:noProof/>
          <w:color w:val="000000"/>
          <w:sz w:val="24"/>
          <w:szCs w:val="24"/>
          <w:lang w:val="id-ID"/>
        </w:rPr>
        <w:t>(Ristanto, Zubaidah, Amin, &amp; Rohman, 2018)</w:t>
      </w:r>
      <w:r w:rsidR="00894545" w:rsidRPr="00430EF7">
        <w:rPr>
          <w:rFonts w:ascii="Times New Roman" w:eastAsia="Times New Roman" w:hAnsi="Times New Roman" w:cs="Times New Roman"/>
          <w:noProof/>
          <w:color w:val="000000"/>
          <w:sz w:val="24"/>
          <w:szCs w:val="24"/>
          <w:lang w:val="id-ID"/>
        </w:rPr>
        <w:fldChar w:fldCharType="end"/>
      </w:r>
      <w:r w:rsidR="00894545" w:rsidRPr="00430EF7">
        <w:rPr>
          <w:rFonts w:ascii="Times New Roman" w:eastAsia="Times New Roman" w:hAnsi="Times New Roman" w:cs="Times New Roman"/>
          <w:noProof/>
          <w:color w:val="000000"/>
          <w:sz w:val="24"/>
          <w:szCs w:val="24"/>
          <w:lang w:val="id-ID"/>
        </w:rPr>
        <w:t xml:space="preserve">. </w:t>
      </w:r>
      <w:r w:rsidRPr="001E3207">
        <w:rPr>
          <w:rFonts w:ascii="Times New Roman" w:eastAsia="Times New Roman" w:hAnsi="Times New Roman" w:cs="Times New Roman"/>
          <w:noProof/>
          <w:color w:val="000000"/>
          <w:sz w:val="24"/>
          <w:szCs w:val="24"/>
          <w:lang w:val="id-ID"/>
        </w:rPr>
        <w:t>Because it involves a series of cognitive activities, students can understand various types of poetry with different titles. They become accustomed to understanding and interpreting poetry because the efforts that need to be made are stored in their long-term memory and appreciating poetry has become commonplace for them.</w:t>
      </w:r>
    </w:p>
    <w:p w:rsidR="00894545" w:rsidRPr="00832FF6" w:rsidRDefault="001E3207"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en-US"/>
        </w:rPr>
      </w:pPr>
      <w:r w:rsidRPr="001E3207">
        <w:rPr>
          <w:rFonts w:ascii="Times New Roman" w:eastAsia="Times New Roman" w:hAnsi="Times New Roman" w:cs="Times New Roman"/>
          <w:noProof/>
          <w:color w:val="000000"/>
          <w:sz w:val="24"/>
          <w:szCs w:val="24"/>
          <w:lang w:val="en-US"/>
        </w:rPr>
        <w:t>In implementing poetry learning with the STAD and CIRC models, the teacher acts as a facilitator because both models are student-centered learning models. Through cooperative groups, students are required to work together and help each other to achieve learning goals. The more effective the implementation of each stage of this model by the teacher, the better the effect it will have on improving the process and student learning outcomes, especially in learning poetry.</w:t>
      </w:r>
    </w:p>
    <w:p w:rsidR="00894545" w:rsidRPr="00430EF7" w:rsidRDefault="00894545" w:rsidP="00894545">
      <w:pPr>
        <w:pStyle w:val="BodytextMaJER"/>
        <w:rPr>
          <w:b/>
          <w:noProof/>
          <w:lang w:val="id-ID"/>
        </w:rPr>
      </w:pPr>
    </w:p>
    <w:p w:rsidR="00894545" w:rsidRPr="001E3207" w:rsidRDefault="001E3207" w:rsidP="00894545">
      <w:pPr>
        <w:pStyle w:val="BodytextMaJER"/>
        <w:spacing w:line="360" w:lineRule="auto"/>
        <w:rPr>
          <w:b/>
          <w:noProof/>
          <w:lang w:val="en-US"/>
        </w:rPr>
      </w:pPr>
      <w:r>
        <w:rPr>
          <w:b/>
          <w:noProof/>
          <w:lang w:val="en-US"/>
        </w:rPr>
        <w:t>CONCLUSION</w:t>
      </w:r>
    </w:p>
    <w:p w:rsidR="001E3207" w:rsidRPr="001E3207" w:rsidRDefault="001E3207" w:rsidP="001E3207">
      <w:pPr>
        <w:pStyle w:val="normal0"/>
        <w:pBdr>
          <w:top w:val="nil"/>
          <w:left w:val="nil"/>
          <w:bottom w:val="nil"/>
          <w:right w:val="nil"/>
          <w:between w:val="nil"/>
        </w:pBdr>
        <w:spacing w:after="0" w:line="240" w:lineRule="auto"/>
        <w:ind w:firstLine="720"/>
        <w:jc w:val="both"/>
        <w:rPr>
          <w:rFonts w:ascii="Times New Roman" w:hAnsi="Times New Roman" w:cs="Times New Roman"/>
          <w:noProof/>
          <w:sz w:val="24"/>
          <w:lang w:val="en-US"/>
        </w:rPr>
      </w:pPr>
      <w:r w:rsidRPr="001E3207">
        <w:rPr>
          <w:rFonts w:ascii="Times New Roman" w:hAnsi="Times New Roman" w:cs="Times New Roman"/>
          <w:noProof/>
          <w:sz w:val="24"/>
          <w:lang w:val="en-US"/>
        </w:rPr>
        <w:t>Poetry learning can be carried out using the STAD and CIRC models. Both learning models are designed with student-centered learning patterns. Students help each other to understand learning and to achieve learning goals, especially in learning poetry. In the learning process, the teacher acts as a facilitator who ensures that students do not have difficulty carrying out each stage of learning. Both of these learning models are considered effective in learning poetry because they are unique.</w:t>
      </w:r>
    </w:p>
    <w:p w:rsidR="001E3207" w:rsidRPr="001E3207" w:rsidRDefault="001E3207" w:rsidP="001E3207">
      <w:pPr>
        <w:pStyle w:val="normal0"/>
        <w:pBdr>
          <w:top w:val="nil"/>
          <w:left w:val="nil"/>
          <w:bottom w:val="nil"/>
          <w:right w:val="nil"/>
          <w:between w:val="nil"/>
        </w:pBdr>
        <w:spacing w:after="0" w:line="240" w:lineRule="auto"/>
        <w:ind w:firstLine="720"/>
        <w:jc w:val="both"/>
        <w:rPr>
          <w:rFonts w:ascii="Times New Roman" w:hAnsi="Times New Roman" w:cs="Times New Roman"/>
          <w:noProof/>
          <w:sz w:val="24"/>
          <w:lang w:val="en-US"/>
        </w:rPr>
      </w:pPr>
      <w:r w:rsidRPr="001E3207">
        <w:rPr>
          <w:rFonts w:ascii="Times New Roman" w:hAnsi="Times New Roman" w:cs="Times New Roman"/>
          <w:noProof/>
          <w:sz w:val="24"/>
          <w:lang w:val="en-US"/>
        </w:rPr>
        <w:t xml:space="preserve">The uniqueness of the STAD model is the reward provided by the teacher as a form of appreciation for student achievement. The reward is given aims to motivate group collaboration in learning based on the scores obtained. Group scores are obtained based on the results of the accumulated individual scores. Therefore, each member of the group must be able to show his best ability in order to contribute a score to his group. In order for the ability of each group member to be evenly distributed, students with high abilities must be able to help students with low abilities during the learning </w:t>
      </w:r>
      <w:r w:rsidRPr="001E3207">
        <w:rPr>
          <w:rFonts w:ascii="Times New Roman" w:hAnsi="Times New Roman" w:cs="Times New Roman"/>
          <w:noProof/>
          <w:sz w:val="24"/>
          <w:lang w:val="en-US"/>
        </w:rPr>
        <w:lastRenderedPageBreak/>
        <w:t>process. Students are required to be accountable to themselves and their group and must be able to show mutual respect.</w:t>
      </w:r>
    </w:p>
    <w:p w:rsidR="00894545" w:rsidRDefault="001E3207" w:rsidP="001E3207">
      <w:pPr>
        <w:pStyle w:val="normal0"/>
        <w:pBdr>
          <w:top w:val="nil"/>
          <w:left w:val="nil"/>
          <w:bottom w:val="nil"/>
          <w:right w:val="nil"/>
          <w:between w:val="nil"/>
        </w:pBdr>
        <w:spacing w:after="0" w:line="240" w:lineRule="auto"/>
        <w:ind w:firstLine="720"/>
        <w:jc w:val="both"/>
        <w:rPr>
          <w:rFonts w:ascii="Times New Roman" w:hAnsi="Times New Roman" w:cs="Times New Roman"/>
          <w:noProof/>
          <w:sz w:val="24"/>
          <w:lang w:val="en-US"/>
        </w:rPr>
      </w:pPr>
      <w:r w:rsidRPr="001E3207">
        <w:rPr>
          <w:rFonts w:ascii="Times New Roman" w:hAnsi="Times New Roman" w:cs="Times New Roman"/>
          <w:noProof/>
          <w:sz w:val="24"/>
          <w:lang w:val="en-US"/>
        </w:rPr>
        <w:t>Furthermore, the uniqueness of the CIRC model is the division of groups based on levels of reading interest. Before starting the lesson, the teacher knows the level of reading interest of each student through the tests given before learning with the CIRC model is implemented. Students who have high reading interest motivate students who have low reading interest through reading to each other and finding keywords from the poems that are read, then jointly write and provide corrections to the written writing as a form of collaborative results in interpreting the contents of the poetry. The CIRC model becomes a learning model that is carried out by involving a series of activities that affect student cognition in learning poetry. Students are not only able to understand the poetry given by the teacher during learning, but also interpret other poems they read. This is thanks to the cognitive activities that make them trained to learn poetry.</w:t>
      </w:r>
    </w:p>
    <w:p w:rsidR="00894545" w:rsidRDefault="00894545" w:rsidP="00894545">
      <w:pPr>
        <w:pStyle w:val="normal0"/>
        <w:pBdr>
          <w:top w:val="nil"/>
          <w:left w:val="nil"/>
          <w:bottom w:val="nil"/>
          <w:right w:val="nil"/>
          <w:between w:val="nil"/>
        </w:pBdr>
        <w:spacing w:after="0" w:line="240" w:lineRule="auto"/>
        <w:jc w:val="both"/>
        <w:rPr>
          <w:rFonts w:ascii="Times New Roman" w:hAnsi="Times New Roman" w:cs="Times New Roman"/>
          <w:noProof/>
          <w:sz w:val="24"/>
          <w:lang w:val="en-US"/>
        </w:rPr>
      </w:pPr>
    </w:p>
    <w:p w:rsidR="00894545" w:rsidRPr="001E3207" w:rsidRDefault="001E3207" w:rsidP="00894545">
      <w:pPr>
        <w:pStyle w:val="normal0"/>
        <w:pBdr>
          <w:top w:val="nil"/>
          <w:left w:val="nil"/>
          <w:bottom w:val="nil"/>
          <w:right w:val="nil"/>
          <w:between w:val="nil"/>
        </w:pBdr>
        <w:spacing w:after="0" w:line="360" w:lineRule="auto"/>
        <w:jc w:val="both"/>
        <w:rPr>
          <w:rFonts w:ascii="Times New Roman" w:eastAsia="Times New Roman" w:hAnsi="Times New Roman" w:cs="Times New Roman"/>
          <w:noProof/>
          <w:color w:val="000000"/>
          <w:sz w:val="40"/>
          <w:szCs w:val="24"/>
          <w:lang w:val="en-US"/>
        </w:rPr>
      </w:pPr>
      <w:r>
        <w:rPr>
          <w:rFonts w:ascii="Times New Roman" w:hAnsi="Times New Roman" w:cs="Times New Roman"/>
          <w:b/>
          <w:noProof/>
          <w:sz w:val="24"/>
          <w:lang w:val="en-US"/>
        </w:rPr>
        <w:t>ACKNOWLEDGEMENT</w:t>
      </w:r>
    </w:p>
    <w:p w:rsidR="00894545" w:rsidRPr="00430EF7" w:rsidRDefault="00706B19" w:rsidP="00894545">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b/>
          <w:noProof/>
          <w:color w:val="000000"/>
          <w:sz w:val="24"/>
          <w:szCs w:val="24"/>
          <w:lang w:val="id-ID"/>
        </w:rPr>
      </w:pPr>
      <w:r w:rsidRPr="00706B19">
        <w:rPr>
          <w:rFonts w:ascii="Times New Roman" w:hAnsi="Times New Roman" w:cs="Times New Roman"/>
          <w:noProof/>
          <w:sz w:val="24"/>
          <w:lang w:val="id-ID"/>
        </w:rPr>
        <w:t>This article has been presented in the International Seminar of Language, Literature, and Education (ISLLE-1) on July 25-26 2017 at Grand Cempaka Hotel, Jakarta and has not been published in the form of proceedings. Thank you to the students of Program Studi Pendidikan Bahasa Indonesia STKIP PGRI Sumatera Barat as research subjects and to the ILEAL Journal Team (Indonesian Language Education and Literature) who were willing to review and publish this article.</w:t>
      </w:r>
    </w:p>
    <w:p w:rsidR="00894545" w:rsidRPr="00430EF7" w:rsidRDefault="00894545" w:rsidP="00894545">
      <w:pPr>
        <w:pStyle w:val="SectionHeadingMaJER"/>
        <w:rPr>
          <w:noProof/>
          <w:lang w:val="id-ID"/>
        </w:rPr>
      </w:pPr>
    </w:p>
    <w:p w:rsidR="00894545" w:rsidRPr="00706B19" w:rsidRDefault="00706B19" w:rsidP="00894545">
      <w:pPr>
        <w:pStyle w:val="SectionHeadingMaJER"/>
        <w:rPr>
          <w:noProof/>
          <w:lang w:val="en-US"/>
        </w:rPr>
      </w:pPr>
      <w:r>
        <w:rPr>
          <w:noProof/>
          <w:lang w:val="en-US"/>
        </w:rPr>
        <w:t>REFERENCES</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noProof/>
        </w:rPr>
        <w:fldChar w:fldCharType="begin" w:fldLock="1"/>
      </w:r>
      <w:r w:rsidRPr="00430EF7">
        <w:rPr>
          <w:noProof/>
        </w:rPr>
        <w:instrText xml:space="preserve">ADDIN Mendeley Bibliography CSL_BIBLIOGRAPHY </w:instrText>
      </w:r>
      <w:r w:rsidRPr="00430EF7">
        <w:rPr>
          <w:noProof/>
        </w:rPr>
        <w:fldChar w:fldCharType="separate"/>
      </w:r>
      <w:r w:rsidRPr="00430EF7">
        <w:rPr>
          <w:rFonts w:ascii="Times New Roman" w:hAnsi="Times New Roman"/>
          <w:noProof/>
          <w:sz w:val="24"/>
          <w:szCs w:val="24"/>
        </w:rPr>
        <w:t xml:space="preserve">Afrinda, P. D., &amp; Yanda, D. P. (2019). Stad Strategies of Defending Self Image in the Public Speaking Delivered by Mr Tourism Sumatera Barat. </w:t>
      </w:r>
      <w:r w:rsidRPr="00430EF7">
        <w:rPr>
          <w:rFonts w:ascii="Times New Roman" w:hAnsi="Times New Roman"/>
          <w:i/>
          <w:iCs/>
          <w:noProof/>
          <w:sz w:val="24"/>
          <w:szCs w:val="24"/>
        </w:rPr>
        <w:t>Prasasti: Journal of Linguistics</w:t>
      </w:r>
      <w:r w:rsidRPr="00430EF7">
        <w:rPr>
          <w:rFonts w:ascii="Times New Roman" w:hAnsi="Times New Roman"/>
          <w:noProof/>
          <w:sz w:val="24"/>
          <w:szCs w:val="24"/>
        </w:rPr>
        <w:t xml:space="preserve">, </w:t>
      </w:r>
      <w:r w:rsidRPr="00430EF7">
        <w:rPr>
          <w:rFonts w:ascii="Times New Roman" w:hAnsi="Times New Roman"/>
          <w:i/>
          <w:iCs/>
          <w:noProof/>
          <w:sz w:val="24"/>
          <w:szCs w:val="24"/>
        </w:rPr>
        <w:t>4</w:t>
      </w:r>
      <w:r w:rsidRPr="00430EF7">
        <w:rPr>
          <w:rFonts w:ascii="Times New Roman" w:hAnsi="Times New Roman"/>
          <w:noProof/>
          <w:sz w:val="24"/>
          <w:szCs w:val="24"/>
        </w:rPr>
        <w:t>(1), 55–68.</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Astuti, D. S. (2014). The Effectiveness of Cooperative Integrated Reading and Composition (CIRC) Method in Teaching Reading Skill Viewed From Students’Interest. </w:t>
      </w:r>
      <w:r w:rsidRPr="00430EF7">
        <w:rPr>
          <w:rFonts w:ascii="Times New Roman" w:hAnsi="Times New Roman"/>
          <w:i/>
          <w:iCs/>
          <w:noProof/>
          <w:sz w:val="24"/>
          <w:szCs w:val="24"/>
        </w:rPr>
        <w:t>Jurnal Pendidikan Bahasa</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 73–88.</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Dewi, L. M. S., Wibawa, I. M. C., &amp; Agustiana, G. A. T. (2020). Improving Science Learning Outcomes Through Student Team Achievement Division (STAD). </w:t>
      </w:r>
      <w:r w:rsidRPr="00430EF7">
        <w:rPr>
          <w:rFonts w:ascii="Times New Roman" w:hAnsi="Times New Roman"/>
          <w:i/>
          <w:iCs/>
          <w:noProof/>
          <w:sz w:val="24"/>
          <w:szCs w:val="24"/>
        </w:rPr>
        <w:t>International Journal of Elementary Education</w:t>
      </w:r>
      <w:r w:rsidRPr="00430EF7">
        <w:rPr>
          <w:rFonts w:ascii="Times New Roman" w:hAnsi="Times New Roman"/>
          <w:noProof/>
          <w:sz w:val="24"/>
          <w:szCs w:val="24"/>
        </w:rPr>
        <w:t xml:space="preserve">, </w:t>
      </w:r>
      <w:r w:rsidRPr="00430EF7">
        <w:rPr>
          <w:rFonts w:ascii="Times New Roman" w:hAnsi="Times New Roman"/>
          <w:i/>
          <w:iCs/>
          <w:noProof/>
          <w:sz w:val="24"/>
          <w:szCs w:val="24"/>
        </w:rPr>
        <w:t>4</w:t>
      </w:r>
      <w:r w:rsidRPr="00430EF7">
        <w:rPr>
          <w:rFonts w:ascii="Times New Roman" w:hAnsi="Times New Roman"/>
          <w:noProof/>
          <w:sz w:val="24"/>
          <w:szCs w:val="24"/>
        </w:rPr>
        <w:t>(3), 329. https://doi.org/10.23887/ijee.v4i3.25917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Eneogu, N. D., Ejimonye, J. C., Ugwuanyi, B. E., &amp; Nji, I. A. (2019). Comparison of Student Team Achievement Division and Team Accelerated Instruction on Student’s Achievement in Secondary School Quantitative Economics Contents. </w:t>
      </w:r>
      <w:r w:rsidRPr="00430EF7">
        <w:rPr>
          <w:rFonts w:ascii="Times New Roman" w:hAnsi="Times New Roman"/>
          <w:i/>
          <w:iCs/>
          <w:noProof/>
          <w:sz w:val="24"/>
          <w:szCs w:val="24"/>
        </w:rPr>
        <w:t>Journal of Engineering and Applied Sciences</w:t>
      </w:r>
      <w:r w:rsidRPr="00430EF7">
        <w:rPr>
          <w:rFonts w:ascii="Times New Roman" w:hAnsi="Times New Roman"/>
          <w:noProof/>
          <w:sz w:val="24"/>
          <w:szCs w:val="24"/>
        </w:rPr>
        <w:t xml:space="preserve">, </w:t>
      </w:r>
      <w:r w:rsidRPr="00430EF7">
        <w:rPr>
          <w:rFonts w:ascii="Times New Roman" w:hAnsi="Times New Roman"/>
          <w:i/>
          <w:iCs/>
          <w:noProof/>
          <w:sz w:val="24"/>
          <w:szCs w:val="24"/>
        </w:rPr>
        <w:t>14</w:t>
      </w:r>
      <w:r w:rsidRPr="00430EF7">
        <w:rPr>
          <w:rFonts w:ascii="Times New Roman" w:hAnsi="Times New Roman"/>
          <w:noProof/>
          <w:sz w:val="24"/>
          <w:szCs w:val="24"/>
        </w:rPr>
        <w:t>(5), 8912–8920.</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Erly, E. (2020). Cooperatve Learning Mpdel Student Team Achievement Division (STAD) Type: The Impact of Student’s Learning Motivatio. </w:t>
      </w:r>
      <w:r w:rsidRPr="00430EF7">
        <w:rPr>
          <w:rFonts w:ascii="Times New Roman" w:hAnsi="Times New Roman"/>
          <w:i/>
          <w:iCs/>
          <w:noProof/>
          <w:sz w:val="24"/>
          <w:szCs w:val="24"/>
        </w:rPr>
        <w:t>Indonesian Journal of Science and Mathematics Education</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 1–8. https://doi.org/10.24042/ijsme.v3i1.5960</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Firnanda, R., Gani, S. A., &amp; Samad, I. A. (2019). The Influence of Student Team-Achievement Divisions (STAD) in Developing Students’ Speaking Skill. </w:t>
      </w:r>
      <w:r w:rsidRPr="00430EF7">
        <w:rPr>
          <w:rFonts w:ascii="Times New Roman" w:hAnsi="Times New Roman"/>
          <w:i/>
          <w:iCs/>
          <w:noProof/>
          <w:sz w:val="24"/>
          <w:szCs w:val="24"/>
        </w:rPr>
        <w:t>English Education Journal (EEJ)</w:t>
      </w:r>
      <w:r w:rsidRPr="00430EF7">
        <w:rPr>
          <w:rFonts w:ascii="Times New Roman" w:hAnsi="Times New Roman"/>
          <w:noProof/>
          <w:sz w:val="24"/>
          <w:szCs w:val="24"/>
        </w:rPr>
        <w:t xml:space="preserve">, </w:t>
      </w:r>
      <w:r w:rsidRPr="00430EF7">
        <w:rPr>
          <w:rFonts w:ascii="Times New Roman" w:hAnsi="Times New Roman"/>
          <w:i/>
          <w:iCs/>
          <w:noProof/>
          <w:sz w:val="24"/>
          <w:szCs w:val="24"/>
        </w:rPr>
        <w:t>10</w:t>
      </w:r>
      <w:r w:rsidRPr="00430EF7">
        <w:rPr>
          <w:rFonts w:ascii="Times New Roman" w:hAnsi="Times New Roman"/>
          <w:noProof/>
          <w:sz w:val="24"/>
          <w:szCs w:val="24"/>
        </w:rPr>
        <w:t>(1), 46–66.</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Fitri, R., &amp; Ramadhanti, D. (2019). </w:t>
      </w:r>
      <w:r w:rsidRPr="00430EF7">
        <w:rPr>
          <w:rFonts w:ascii="Times New Roman" w:hAnsi="Times New Roman"/>
          <w:i/>
          <w:iCs/>
          <w:noProof/>
          <w:sz w:val="24"/>
          <w:szCs w:val="24"/>
        </w:rPr>
        <w:t>Buku Ajar Statistika Pendidikan</w:t>
      </w:r>
      <w:r w:rsidRPr="00430EF7">
        <w:rPr>
          <w:rFonts w:ascii="Times New Roman" w:hAnsi="Times New Roman"/>
          <w:noProof/>
          <w:sz w:val="24"/>
          <w:szCs w:val="24"/>
        </w:rPr>
        <w:t>. Padang: STKIP PGRI Sumbar Press.</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Gani, E. (2014). </w:t>
      </w:r>
      <w:r w:rsidRPr="00430EF7">
        <w:rPr>
          <w:rFonts w:ascii="Times New Roman" w:hAnsi="Times New Roman"/>
          <w:i/>
          <w:iCs/>
          <w:noProof/>
          <w:sz w:val="24"/>
          <w:szCs w:val="24"/>
        </w:rPr>
        <w:t>Kiat Pembacaan Puisi: Teori dan Terapan</w:t>
      </w:r>
      <w:r w:rsidRPr="00430EF7">
        <w:rPr>
          <w:rFonts w:ascii="Times New Roman" w:hAnsi="Times New Roman"/>
          <w:noProof/>
          <w:sz w:val="24"/>
          <w:szCs w:val="24"/>
        </w:rPr>
        <w:t xml:space="preserve">. Bandung: Pustaka Reka </w:t>
      </w:r>
      <w:r w:rsidRPr="00430EF7">
        <w:rPr>
          <w:rFonts w:ascii="Times New Roman" w:hAnsi="Times New Roman"/>
          <w:noProof/>
          <w:sz w:val="24"/>
          <w:szCs w:val="24"/>
        </w:rPr>
        <w:lastRenderedPageBreak/>
        <w:t>Cipta.</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Garcha, P. S. (2019). Effectivenese of Student Team Achievement Division (STAD) on Achievement of Secondary School Students. </w:t>
      </w:r>
      <w:r w:rsidRPr="00430EF7">
        <w:rPr>
          <w:rFonts w:ascii="Times New Roman" w:hAnsi="Times New Roman"/>
          <w:i/>
          <w:iCs/>
          <w:noProof/>
          <w:sz w:val="24"/>
          <w:szCs w:val="24"/>
        </w:rPr>
        <w:t>Indian Streams Research Journal</w:t>
      </w:r>
      <w:r w:rsidRPr="00430EF7">
        <w:rPr>
          <w:rFonts w:ascii="Times New Roman" w:hAnsi="Times New Roman"/>
          <w:noProof/>
          <w:sz w:val="24"/>
          <w:szCs w:val="24"/>
        </w:rPr>
        <w:t xml:space="preserve">, </w:t>
      </w:r>
      <w:r w:rsidRPr="00430EF7">
        <w:rPr>
          <w:rFonts w:ascii="Times New Roman" w:hAnsi="Times New Roman"/>
          <w:i/>
          <w:iCs/>
          <w:noProof/>
          <w:sz w:val="24"/>
          <w:szCs w:val="24"/>
        </w:rPr>
        <w:t>6</w:t>
      </w:r>
      <w:r w:rsidRPr="00430EF7">
        <w:rPr>
          <w:rFonts w:ascii="Times New Roman" w:hAnsi="Times New Roman"/>
          <w:noProof/>
          <w:sz w:val="24"/>
          <w:szCs w:val="24"/>
        </w:rPr>
        <w:t>(4), 1–6. https://doi.org/10.13140/RG.2.2.24935.09121</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Ginting, D. R. B. (2017). The Implementation of Cooperative Integrated Reading and Composition Strategy to Improve the Students’ Ability in Reading Comprehension. In </w:t>
      </w:r>
      <w:r w:rsidRPr="00430EF7">
        <w:rPr>
          <w:rFonts w:ascii="Times New Roman" w:hAnsi="Times New Roman"/>
          <w:i/>
          <w:iCs/>
          <w:noProof/>
          <w:sz w:val="24"/>
          <w:szCs w:val="24"/>
        </w:rPr>
        <w:t>Advances in Social Science, Education and Humanities Research.</w:t>
      </w:r>
      <w:r w:rsidRPr="00430EF7">
        <w:rPr>
          <w:rFonts w:ascii="Times New Roman" w:hAnsi="Times New Roman"/>
          <w:noProof/>
          <w:sz w:val="24"/>
          <w:szCs w:val="24"/>
        </w:rPr>
        <w:t xml:space="preserve"> (Vol. 1, pp. 113–117). https://doi.org/10.32934/jmie.v1i1.28</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Jamaludin, M., &amp; Mokhtar, M. F. (2018). Students Team Achievement Division. </w:t>
      </w:r>
      <w:r w:rsidRPr="00430EF7">
        <w:rPr>
          <w:rFonts w:ascii="Times New Roman" w:hAnsi="Times New Roman"/>
          <w:i/>
          <w:iCs/>
          <w:noProof/>
          <w:sz w:val="24"/>
          <w:szCs w:val="24"/>
        </w:rPr>
        <w:t>International Journal of Academic Research in Bussiness and Social Sciences</w:t>
      </w:r>
      <w:r w:rsidRPr="00430EF7">
        <w:rPr>
          <w:rFonts w:ascii="Times New Roman" w:hAnsi="Times New Roman"/>
          <w:noProof/>
          <w:sz w:val="24"/>
          <w:szCs w:val="24"/>
        </w:rPr>
        <w:t xml:space="preserve">, </w:t>
      </w:r>
      <w:r w:rsidRPr="00430EF7">
        <w:rPr>
          <w:rFonts w:ascii="Times New Roman" w:hAnsi="Times New Roman"/>
          <w:i/>
          <w:iCs/>
          <w:noProof/>
          <w:sz w:val="24"/>
          <w:szCs w:val="24"/>
        </w:rPr>
        <w:t>8</w:t>
      </w:r>
      <w:r w:rsidRPr="00430EF7">
        <w:rPr>
          <w:rFonts w:ascii="Times New Roman" w:hAnsi="Times New Roman"/>
          <w:noProof/>
          <w:sz w:val="24"/>
          <w:szCs w:val="24"/>
        </w:rPr>
        <w:t>(2), 570–577. https://doi.org/10.6007/IJARBSS/v8-i2/3966</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Khuzaemah, E., &amp; Herawati, L. (2017). Pembelajaran Menulis Esai Menggunakan Model Cooperative Integrated Reading and Composition (CIRC) Berbasis Life Skills. </w:t>
      </w:r>
      <w:r w:rsidRPr="00430EF7">
        <w:rPr>
          <w:rFonts w:ascii="Times New Roman" w:hAnsi="Times New Roman"/>
          <w:i/>
          <w:iCs/>
          <w:noProof/>
          <w:sz w:val="24"/>
          <w:szCs w:val="24"/>
        </w:rPr>
        <w:t>Journal Indonesian Language Education and Literature</w:t>
      </w:r>
      <w:r w:rsidRPr="00430EF7">
        <w:rPr>
          <w:rFonts w:ascii="Times New Roman" w:hAnsi="Times New Roman"/>
          <w:noProof/>
          <w:sz w:val="24"/>
          <w:szCs w:val="24"/>
        </w:rPr>
        <w:t xml:space="preserve">, </w:t>
      </w:r>
      <w:r w:rsidRPr="00430EF7">
        <w:rPr>
          <w:rFonts w:ascii="Times New Roman" w:hAnsi="Times New Roman"/>
          <w:i/>
          <w:iCs/>
          <w:noProof/>
          <w:sz w:val="24"/>
          <w:szCs w:val="24"/>
        </w:rPr>
        <w:t>2</w:t>
      </w:r>
      <w:r w:rsidRPr="00430EF7">
        <w:rPr>
          <w:rFonts w:ascii="Times New Roman" w:hAnsi="Times New Roman"/>
          <w:noProof/>
          <w:sz w:val="24"/>
          <w:szCs w:val="24"/>
        </w:rPr>
        <w:t>(2), 148–162.</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Lantajo, J. T., &amp; Tipolo, R. L. (2019). Student-Team Achievement Division (STAD) and Its Effect on the Academic Performance of Grade 8 Students. </w:t>
      </w:r>
      <w:r w:rsidRPr="00430EF7">
        <w:rPr>
          <w:rFonts w:ascii="Times New Roman" w:hAnsi="Times New Roman"/>
          <w:i/>
          <w:iCs/>
          <w:noProof/>
          <w:sz w:val="24"/>
          <w:szCs w:val="24"/>
        </w:rPr>
        <w:t>Journal of Physics: Conference Series</w:t>
      </w:r>
      <w:r w:rsidRPr="00430EF7">
        <w:rPr>
          <w:rFonts w:ascii="Times New Roman" w:hAnsi="Times New Roman"/>
          <w:noProof/>
          <w:sz w:val="24"/>
          <w:szCs w:val="24"/>
        </w:rPr>
        <w:t xml:space="preserve">, </w:t>
      </w:r>
      <w:r w:rsidRPr="00430EF7">
        <w:rPr>
          <w:rFonts w:ascii="Times New Roman" w:hAnsi="Times New Roman"/>
          <w:i/>
          <w:iCs/>
          <w:noProof/>
          <w:sz w:val="24"/>
          <w:szCs w:val="24"/>
        </w:rPr>
        <w:t>1254</w:t>
      </w:r>
      <w:r w:rsidRPr="00430EF7">
        <w:rPr>
          <w:rFonts w:ascii="Times New Roman" w:hAnsi="Times New Roman"/>
          <w:noProof/>
          <w:sz w:val="24"/>
          <w:szCs w:val="24"/>
        </w:rPr>
        <w:t>(1), 0–6. https://doi.org/10.1088/1742-6596/1254/1/012014</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Martono, M., Purwanti, E., Syukri, M., &amp; Soeharto, S. (2019). Improving The Reading Comprehension Ability by Applying the Cooperative Integrated Reading and Composition (CIRC). </w:t>
      </w:r>
      <w:r w:rsidRPr="00430EF7">
        <w:rPr>
          <w:rFonts w:ascii="Times New Roman" w:hAnsi="Times New Roman"/>
          <w:i/>
          <w:iCs/>
          <w:noProof/>
          <w:sz w:val="24"/>
          <w:szCs w:val="24"/>
        </w:rPr>
        <w:t>International Journal of Mechanical Engineering and Technology (IJMET)</w:t>
      </w:r>
      <w:r w:rsidRPr="00430EF7">
        <w:rPr>
          <w:rFonts w:ascii="Times New Roman" w:hAnsi="Times New Roman"/>
          <w:noProof/>
          <w:sz w:val="24"/>
          <w:szCs w:val="24"/>
        </w:rPr>
        <w:t xml:space="preserve">, </w:t>
      </w:r>
      <w:r w:rsidRPr="00430EF7">
        <w:rPr>
          <w:rFonts w:ascii="Times New Roman" w:hAnsi="Times New Roman"/>
          <w:i/>
          <w:iCs/>
          <w:noProof/>
          <w:sz w:val="24"/>
          <w:szCs w:val="24"/>
        </w:rPr>
        <w:t>10</w:t>
      </w:r>
      <w:r w:rsidRPr="00430EF7">
        <w:rPr>
          <w:rFonts w:ascii="Times New Roman" w:hAnsi="Times New Roman"/>
          <w:noProof/>
          <w:sz w:val="24"/>
          <w:szCs w:val="24"/>
        </w:rPr>
        <w:t>(03), 828–836.</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Nafisah, J. (2018). The Effectiveness of Cooperative Integrated Reading and Composition (CIRC) Technique in Teaching Reading Comprehension on Hortatory Exposition Text. </w:t>
      </w:r>
      <w:r w:rsidRPr="00430EF7">
        <w:rPr>
          <w:rFonts w:ascii="Times New Roman" w:hAnsi="Times New Roman"/>
          <w:i/>
          <w:iCs/>
          <w:noProof/>
          <w:sz w:val="24"/>
          <w:szCs w:val="24"/>
        </w:rPr>
        <w:t>Jurnal Edulingua</w:t>
      </w:r>
      <w:r w:rsidRPr="00430EF7">
        <w:rPr>
          <w:rFonts w:ascii="Times New Roman" w:hAnsi="Times New Roman"/>
          <w:noProof/>
          <w:sz w:val="24"/>
          <w:szCs w:val="24"/>
        </w:rPr>
        <w:t xml:space="preserve">, </w:t>
      </w:r>
      <w:r w:rsidRPr="00430EF7">
        <w:rPr>
          <w:rFonts w:ascii="Times New Roman" w:hAnsi="Times New Roman"/>
          <w:i/>
          <w:iCs/>
          <w:noProof/>
          <w:sz w:val="24"/>
          <w:szCs w:val="24"/>
        </w:rPr>
        <w:t>5</w:t>
      </w:r>
      <w:r w:rsidRPr="00430EF7">
        <w:rPr>
          <w:rFonts w:ascii="Times New Roman" w:hAnsi="Times New Roman"/>
          <w:noProof/>
          <w:sz w:val="24"/>
          <w:szCs w:val="24"/>
        </w:rPr>
        <w:t>(2), 29–40.</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Nurhuda. (2020). Improving Students’ Engagement in Reading Class By Using Student Teams-Achievement Division (STAD). </w:t>
      </w:r>
      <w:r w:rsidRPr="00430EF7">
        <w:rPr>
          <w:rFonts w:ascii="Times New Roman" w:hAnsi="Times New Roman"/>
          <w:i/>
          <w:iCs/>
          <w:noProof/>
          <w:sz w:val="24"/>
          <w:szCs w:val="24"/>
        </w:rPr>
        <w:t>Journal of English Education Literature</w:t>
      </w:r>
      <w:r w:rsidRPr="00430EF7">
        <w:rPr>
          <w:rFonts w:ascii="Times New Roman" w:hAnsi="Times New Roman"/>
          <w:noProof/>
          <w:sz w:val="24"/>
          <w:szCs w:val="24"/>
        </w:rPr>
        <w:t xml:space="preserve">, </w:t>
      </w:r>
      <w:r w:rsidRPr="00430EF7">
        <w:rPr>
          <w:rFonts w:ascii="Times New Roman" w:hAnsi="Times New Roman"/>
          <w:i/>
          <w:iCs/>
          <w:noProof/>
          <w:sz w:val="24"/>
          <w:szCs w:val="24"/>
        </w:rPr>
        <w:t>1</w:t>
      </w:r>
      <w:r w:rsidRPr="00430EF7">
        <w:rPr>
          <w:rFonts w:ascii="Times New Roman" w:hAnsi="Times New Roman"/>
          <w:noProof/>
          <w:sz w:val="24"/>
          <w:szCs w:val="24"/>
        </w:rPr>
        <w:t>(2), 68–75.</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Parmawati, A. (2015). The Effectiveness of Cooperative Integrated Reading and Composition (CIRC). </w:t>
      </w:r>
      <w:r w:rsidRPr="00430EF7">
        <w:rPr>
          <w:rFonts w:ascii="Times New Roman" w:hAnsi="Times New Roman"/>
          <w:i/>
          <w:iCs/>
          <w:noProof/>
          <w:sz w:val="24"/>
          <w:szCs w:val="24"/>
        </w:rPr>
        <w:t>ELTIN JOurnal</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(2), 63–71.</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Primasari, Y. (2018). The Effectiveness of Student Teams Achievement Division (STAD) in Teaching Reading Comprehension of the First Semester Students of English Language Education Study Program. </w:t>
      </w:r>
      <w:r w:rsidRPr="00430EF7">
        <w:rPr>
          <w:rFonts w:ascii="Times New Roman" w:hAnsi="Times New Roman"/>
          <w:i/>
          <w:iCs/>
          <w:noProof/>
          <w:sz w:val="24"/>
          <w:szCs w:val="24"/>
        </w:rPr>
        <w:t>JARES (Journal of Academic Research and Sciences)</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(2), 41–48. https://doi.org/10.35457/jares.v3i2.504</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Qamariah, H., Rosdina, &amp; Fitri, N. (2019). Cooperative Integrated Reading and Composition Technique: A Mean of Improving Students’ Ability in Writing Explanation Text. </w:t>
      </w:r>
      <w:r w:rsidRPr="00430EF7">
        <w:rPr>
          <w:rFonts w:ascii="Times New Roman" w:hAnsi="Times New Roman"/>
          <w:i/>
          <w:iCs/>
          <w:noProof/>
          <w:sz w:val="24"/>
          <w:szCs w:val="24"/>
        </w:rPr>
        <w:t>Getsempena English Education Journal (GEEJ)</w:t>
      </w:r>
      <w:r w:rsidRPr="00430EF7">
        <w:rPr>
          <w:rFonts w:ascii="Times New Roman" w:hAnsi="Times New Roman"/>
          <w:noProof/>
          <w:sz w:val="24"/>
          <w:szCs w:val="24"/>
        </w:rPr>
        <w:t xml:space="preserve">, </w:t>
      </w:r>
      <w:r w:rsidRPr="00430EF7">
        <w:rPr>
          <w:rFonts w:ascii="Times New Roman" w:hAnsi="Times New Roman"/>
          <w:i/>
          <w:iCs/>
          <w:noProof/>
          <w:sz w:val="24"/>
          <w:szCs w:val="24"/>
        </w:rPr>
        <w:t>6</w:t>
      </w:r>
      <w:r w:rsidRPr="00430EF7">
        <w:rPr>
          <w:rFonts w:ascii="Times New Roman" w:hAnsi="Times New Roman"/>
          <w:noProof/>
          <w:sz w:val="24"/>
          <w:szCs w:val="24"/>
        </w:rPr>
        <w:t>(2), 191–199.</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Rahayu, E., Rohmadi, M., &amp; Andayani, A. (2018). Meningkatkan Minat dan Kemampuan Menulis Puisi. </w:t>
      </w:r>
      <w:r w:rsidRPr="00430EF7">
        <w:rPr>
          <w:rFonts w:ascii="Times New Roman" w:hAnsi="Times New Roman"/>
          <w:i/>
          <w:iCs/>
          <w:noProof/>
          <w:sz w:val="24"/>
          <w:szCs w:val="24"/>
        </w:rPr>
        <w:t>Indonesian Language Education and Literature</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(2), 123–130. https://doi.org/10.24235/ileal.v3i2.1575</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Ramadhanti, D. (2017). Penerapan Model Kooperatif Tipe CIRC dalam Pembelajaran Menulis Narasi Siswa Kelas VII SMP Negeri 2 Lembah Gumanti. </w:t>
      </w:r>
      <w:r w:rsidRPr="00430EF7">
        <w:rPr>
          <w:rFonts w:ascii="Times New Roman" w:hAnsi="Times New Roman"/>
          <w:i/>
          <w:iCs/>
          <w:noProof/>
          <w:sz w:val="24"/>
          <w:szCs w:val="24"/>
        </w:rPr>
        <w:t>Gramatika</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 27–42. https://doi.org/10.22202/JG.2017.V3i1.1230</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Ramadhanti, D. (2019). The Joli-Joli’s Game In The Writing Poetry: A Culturally Responsive Meaningful Learning Model. </w:t>
      </w:r>
      <w:r w:rsidRPr="00430EF7">
        <w:rPr>
          <w:rFonts w:ascii="Times New Roman" w:hAnsi="Times New Roman"/>
          <w:i/>
          <w:iCs/>
          <w:noProof/>
          <w:sz w:val="24"/>
          <w:szCs w:val="24"/>
        </w:rPr>
        <w:t>ISLLAC: Journal of Intensive Studies on Language, Literature, Art, and Culture</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Ramadhanti, D., &amp; Yanda, D. P. (2017). </w:t>
      </w:r>
      <w:r w:rsidRPr="00430EF7">
        <w:rPr>
          <w:rFonts w:ascii="Times New Roman" w:hAnsi="Times New Roman"/>
          <w:i/>
          <w:iCs/>
          <w:noProof/>
          <w:sz w:val="24"/>
          <w:szCs w:val="24"/>
        </w:rPr>
        <w:t>Memahami Puisi</w:t>
      </w:r>
      <w:r w:rsidRPr="00430EF7">
        <w:rPr>
          <w:rFonts w:ascii="Times New Roman" w:hAnsi="Times New Roman"/>
          <w:noProof/>
          <w:sz w:val="24"/>
          <w:szCs w:val="24"/>
        </w:rPr>
        <w:t>. Yogyakarta: Deepublish.</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Ramadhanti, D., &amp; Yanda, D. P. (2018). Understanding Poetry Through the Use of Cooperative Learning Model. </w:t>
      </w:r>
      <w:r w:rsidRPr="00430EF7">
        <w:rPr>
          <w:rFonts w:ascii="Times New Roman" w:hAnsi="Times New Roman"/>
          <w:i/>
          <w:iCs/>
          <w:noProof/>
          <w:sz w:val="24"/>
          <w:szCs w:val="24"/>
        </w:rPr>
        <w:t>Cakrawala Pendidikan</w:t>
      </w:r>
      <w:r w:rsidRPr="00430EF7">
        <w:rPr>
          <w:rFonts w:ascii="Times New Roman" w:hAnsi="Times New Roman"/>
          <w:noProof/>
          <w:sz w:val="24"/>
          <w:szCs w:val="24"/>
        </w:rPr>
        <w:t xml:space="preserve">, </w:t>
      </w:r>
      <w:r w:rsidRPr="00430EF7">
        <w:rPr>
          <w:rFonts w:ascii="Times New Roman" w:hAnsi="Times New Roman"/>
          <w:i/>
          <w:iCs/>
          <w:noProof/>
          <w:sz w:val="24"/>
          <w:szCs w:val="24"/>
        </w:rPr>
        <w:t>XXXVII</w:t>
      </w:r>
      <w:r w:rsidRPr="00430EF7">
        <w:rPr>
          <w:rFonts w:ascii="Times New Roman" w:hAnsi="Times New Roman"/>
          <w:noProof/>
          <w:sz w:val="24"/>
          <w:szCs w:val="24"/>
        </w:rPr>
        <w:t xml:space="preserve">(3), 436–446. </w:t>
      </w:r>
      <w:r w:rsidRPr="00430EF7">
        <w:rPr>
          <w:rFonts w:ascii="Times New Roman" w:hAnsi="Times New Roman"/>
          <w:noProof/>
          <w:sz w:val="24"/>
          <w:szCs w:val="24"/>
        </w:rPr>
        <w:lastRenderedPageBreak/>
        <w:t>https://doi.org/10.21831/cp.v38i3.20675</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Ramadhanti, D., &amp; Yanda, D. P. (2020). Faktor Minat Baca dalam Pembelajaran Puisi. </w:t>
      </w:r>
      <w:r w:rsidRPr="00430EF7">
        <w:rPr>
          <w:rFonts w:ascii="Times New Roman" w:hAnsi="Times New Roman"/>
          <w:i/>
          <w:iCs/>
          <w:noProof/>
          <w:sz w:val="24"/>
          <w:szCs w:val="24"/>
        </w:rPr>
        <w:t>Kelasa</w:t>
      </w:r>
      <w:r w:rsidRPr="00430EF7">
        <w:rPr>
          <w:rFonts w:ascii="Times New Roman" w:hAnsi="Times New Roman"/>
          <w:noProof/>
          <w:sz w:val="24"/>
          <w:szCs w:val="24"/>
        </w:rPr>
        <w:t xml:space="preserve">, </w:t>
      </w:r>
      <w:r w:rsidRPr="00430EF7">
        <w:rPr>
          <w:rFonts w:ascii="Times New Roman" w:hAnsi="Times New Roman"/>
          <w:i/>
          <w:iCs/>
          <w:noProof/>
          <w:sz w:val="24"/>
          <w:szCs w:val="24"/>
        </w:rPr>
        <w:t>15</w:t>
      </w:r>
      <w:r w:rsidRPr="00430EF7">
        <w:rPr>
          <w:rFonts w:ascii="Times New Roman" w:hAnsi="Times New Roman"/>
          <w:noProof/>
          <w:sz w:val="24"/>
          <w:szCs w:val="24"/>
        </w:rPr>
        <w:t>(2), 194–208. https://doi.org/10.26499/kelasa.v15i2.12</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Ristanto, R. H., Zubaidah, S., Amin, M., &amp; Rohman, F. (2018). The Potential of Cooperative Integrated Reading and Composition in Biology Learning at Higher Education. </w:t>
      </w:r>
      <w:r w:rsidRPr="00430EF7">
        <w:rPr>
          <w:rFonts w:ascii="Times New Roman" w:hAnsi="Times New Roman"/>
          <w:i/>
          <w:iCs/>
          <w:noProof/>
          <w:sz w:val="24"/>
          <w:szCs w:val="24"/>
        </w:rPr>
        <w:t>International Journal of Educational Research Review</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 50–56.</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Sari, A. W., &amp; Yanda, D. P. (2016). Kontribusi Minat Baca Puisi dan Penguasaan Gaya Bahasa terhadap Keterampilan Menulis Puisi Bebas Siswa Kelas IX SMP Negeri 2 Lembah Gumanti. </w:t>
      </w:r>
      <w:r w:rsidRPr="00430EF7">
        <w:rPr>
          <w:rFonts w:ascii="Times New Roman" w:hAnsi="Times New Roman"/>
          <w:i/>
          <w:iCs/>
          <w:noProof/>
          <w:sz w:val="24"/>
          <w:szCs w:val="24"/>
        </w:rPr>
        <w:t>Jurnal Gramatika: Jurnal Penelitian Pendidikan Bahasa Dan Sastra Indonesia</w:t>
      </w:r>
      <w:r w:rsidRPr="00430EF7">
        <w:rPr>
          <w:rFonts w:ascii="Times New Roman" w:hAnsi="Times New Roman"/>
          <w:noProof/>
          <w:sz w:val="24"/>
          <w:szCs w:val="24"/>
        </w:rPr>
        <w:t xml:space="preserve">, </w:t>
      </w:r>
      <w:r w:rsidRPr="00430EF7">
        <w:rPr>
          <w:rFonts w:ascii="Times New Roman" w:hAnsi="Times New Roman"/>
          <w:i/>
          <w:iCs/>
          <w:noProof/>
          <w:sz w:val="24"/>
          <w:szCs w:val="24"/>
        </w:rPr>
        <w:t>2</w:t>
      </w:r>
      <w:r w:rsidRPr="00430EF7">
        <w:rPr>
          <w:rFonts w:ascii="Times New Roman" w:hAnsi="Times New Roman"/>
          <w:noProof/>
          <w:sz w:val="24"/>
          <w:szCs w:val="24"/>
        </w:rPr>
        <w:t>(2), 179–193. https://doi.org/10.22202/JG.2016.v2i2.1087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Sepriyanti, N., Kustati, M., &amp; Sabri, A. (2019). Utilization Of Students Team Achievement Division And Team Game Tournament : Effective Ways To Increase Students ’ Mathematics Ability. </w:t>
      </w:r>
      <w:r w:rsidRPr="00430EF7">
        <w:rPr>
          <w:rFonts w:ascii="Times New Roman" w:hAnsi="Times New Roman"/>
          <w:i/>
          <w:iCs/>
          <w:noProof/>
          <w:sz w:val="24"/>
          <w:szCs w:val="24"/>
        </w:rPr>
        <w:t>International Journal of Scientific &amp; Technology Reasearch</w:t>
      </w:r>
      <w:r w:rsidRPr="00430EF7">
        <w:rPr>
          <w:rFonts w:ascii="Times New Roman" w:hAnsi="Times New Roman"/>
          <w:noProof/>
          <w:sz w:val="24"/>
          <w:szCs w:val="24"/>
        </w:rPr>
        <w:t xml:space="preserve">, </w:t>
      </w:r>
      <w:r w:rsidRPr="00430EF7">
        <w:rPr>
          <w:rFonts w:ascii="Times New Roman" w:hAnsi="Times New Roman"/>
          <w:i/>
          <w:iCs/>
          <w:noProof/>
          <w:sz w:val="24"/>
          <w:szCs w:val="24"/>
        </w:rPr>
        <w:t>8</w:t>
      </w:r>
      <w:r w:rsidRPr="00430EF7">
        <w:rPr>
          <w:rFonts w:ascii="Times New Roman" w:hAnsi="Times New Roman"/>
          <w:noProof/>
          <w:sz w:val="24"/>
          <w:szCs w:val="24"/>
        </w:rPr>
        <w:t>(04), 80–85.</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Slavin, R. E. (1994). </w:t>
      </w:r>
      <w:r w:rsidRPr="00430EF7">
        <w:rPr>
          <w:rFonts w:ascii="Times New Roman" w:hAnsi="Times New Roman"/>
          <w:i/>
          <w:iCs/>
          <w:noProof/>
          <w:sz w:val="24"/>
          <w:szCs w:val="24"/>
        </w:rPr>
        <w:t>Cooperative learning: Theory, Research and Practice</w:t>
      </w:r>
      <w:r w:rsidRPr="00430EF7">
        <w:rPr>
          <w:rFonts w:ascii="Times New Roman" w:hAnsi="Times New Roman"/>
          <w:noProof/>
          <w:sz w:val="24"/>
          <w:szCs w:val="24"/>
        </w:rPr>
        <w:t xml:space="preserve"> (2nd ed.). Boston: Allyn and Bacon.</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Syafiq, A. N., &amp; Rahmawati, A. (2017). The Effect of Student Team Achievement Division Cooperative Learning (STAD CL) in Teaching the Reading Comprehension. </w:t>
      </w:r>
      <w:r w:rsidRPr="00430EF7">
        <w:rPr>
          <w:rFonts w:ascii="Times New Roman" w:hAnsi="Times New Roman"/>
          <w:i/>
          <w:iCs/>
          <w:noProof/>
          <w:sz w:val="24"/>
          <w:szCs w:val="24"/>
        </w:rPr>
        <w:t>Refleksi Edukatika : Jurnal Ilmiah Kependidikan</w:t>
      </w:r>
      <w:r w:rsidRPr="00430EF7">
        <w:rPr>
          <w:rFonts w:ascii="Times New Roman" w:hAnsi="Times New Roman"/>
          <w:noProof/>
          <w:sz w:val="24"/>
          <w:szCs w:val="24"/>
        </w:rPr>
        <w:t xml:space="preserve">, </w:t>
      </w:r>
      <w:r w:rsidRPr="00430EF7">
        <w:rPr>
          <w:rFonts w:ascii="Times New Roman" w:hAnsi="Times New Roman"/>
          <w:i/>
          <w:iCs/>
          <w:noProof/>
          <w:sz w:val="24"/>
          <w:szCs w:val="24"/>
        </w:rPr>
        <w:t>7</w:t>
      </w:r>
      <w:r w:rsidRPr="00430EF7">
        <w:rPr>
          <w:rFonts w:ascii="Times New Roman" w:hAnsi="Times New Roman"/>
          <w:noProof/>
          <w:sz w:val="24"/>
          <w:szCs w:val="24"/>
        </w:rPr>
        <w:t>(2), 118–122. https://doi.org/10.24176/re.v7i2.1220</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Syahidi, A. A., Asyikin, A. N., &amp; Asy’ari. (2018). Applying Student Team Achievement Divisions ( STAD ) Model on Material of Basic Programme Branch Control Structure to Increase Activity and Student Result Related content Applying Student Team Achievement Divisions ( STAD ) Model on Material of Basic Prog. In </w:t>
      </w:r>
      <w:r w:rsidRPr="00430EF7">
        <w:rPr>
          <w:rFonts w:ascii="Times New Roman" w:hAnsi="Times New Roman"/>
          <w:i/>
          <w:iCs/>
          <w:noProof/>
          <w:sz w:val="24"/>
          <w:szCs w:val="24"/>
        </w:rPr>
        <w:t>IOP Conference Series: Materials Science and Engineering</w:t>
      </w:r>
      <w:r w:rsidRPr="00430EF7">
        <w:rPr>
          <w:rFonts w:ascii="Times New Roman" w:hAnsi="Times New Roman"/>
          <w:noProof/>
          <w:sz w:val="24"/>
          <w:szCs w:val="24"/>
        </w:rPr>
        <w:t>. https://doi.org/10.1088/1757-899X/336/1/012027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Thresia, F. (2012). The Contribution of Students Team Achievement Division (STAD) and Motivation Towards Writing (The Students of Enginering Faculty Muhammadiyah University of Metro), </w:t>
      </w:r>
      <w:r w:rsidRPr="00430EF7">
        <w:rPr>
          <w:rFonts w:ascii="Times New Roman" w:hAnsi="Times New Roman"/>
          <w:i/>
          <w:iCs/>
          <w:noProof/>
          <w:sz w:val="24"/>
          <w:szCs w:val="24"/>
        </w:rPr>
        <w:t>1</w:t>
      </w:r>
      <w:r w:rsidRPr="00430EF7">
        <w:rPr>
          <w:rFonts w:ascii="Times New Roman" w:hAnsi="Times New Roman"/>
          <w:noProof/>
          <w:sz w:val="24"/>
          <w:szCs w:val="24"/>
        </w:rPr>
        <w:t>(2), 123–132.</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Ugwu, E. O. (2019). Effect of Student Teams Achievement Division and Think-Pair-Share on Students’ Achievement in Reading Comprehension. </w:t>
      </w:r>
      <w:r w:rsidRPr="00430EF7">
        <w:rPr>
          <w:rFonts w:ascii="Times New Roman" w:hAnsi="Times New Roman"/>
          <w:i/>
          <w:iCs/>
          <w:noProof/>
          <w:sz w:val="24"/>
          <w:szCs w:val="24"/>
        </w:rPr>
        <w:t>African Journal of Teacher Education</w:t>
      </w:r>
      <w:r w:rsidRPr="00430EF7">
        <w:rPr>
          <w:rFonts w:ascii="Times New Roman" w:hAnsi="Times New Roman"/>
          <w:noProof/>
          <w:sz w:val="24"/>
          <w:szCs w:val="24"/>
        </w:rPr>
        <w:t xml:space="preserve">, </w:t>
      </w:r>
      <w:r w:rsidRPr="00430EF7">
        <w:rPr>
          <w:rFonts w:ascii="Times New Roman" w:hAnsi="Times New Roman"/>
          <w:i/>
          <w:iCs/>
          <w:noProof/>
          <w:sz w:val="24"/>
          <w:szCs w:val="24"/>
        </w:rPr>
        <w:t>8</w:t>
      </w:r>
      <w:r w:rsidRPr="00430EF7">
        <w:rPr>
          <w:rFonts w:ascii="Times New Roman" w:hAnsi="Times New Roman"/>
          <w:noProof/>
          <w:sz w:val="24"/>
          <w:szCs w:val="24"/>
        </w:rPr>
        <w:t>(1), 218–237.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Ulya, C., Wardani, N. E., &amp; Mujiyanto, Y. (2016). Muatan Pendidikan Antikorupsi dalam Mata Kuliah Pengkajian dan Apresiasi Puisi di Jawa Tengah dan Yogyakarta. </w:t>
      </w:r>
      <w:r w:rsidRPr="00430EF7">
        <w:rPr>
          <w:rFonts w:ascii="Times New Roman" w:hAnsi="Times New Roman"/>
          <w:i/>
          <w:iCs/>
          <w:noProof/>
          <w:sz w:val="24"/>
          <w:szCs w:val="24"/>
        </w:rPr>
        <w:t>Journal Indonesian Language Education and Literature</w:t>
      </w:r>
      <w:r w:rsidRPr="00430EF7">
        <w:rPr>
          <w:rFonts w:ascii="Times New Roman" w:hAnsi="Times New Roman"/>
          <w:noProof/>
          <w:sz w:val="24"/>
          <w:szCs w:val="24"/>
        </w:rPr>
        <w:t xml:space="preserve">, </w:t>
      </w:r>
      <w:r w:rsidRPr="00430EF7">
        <w:rPr>
          <w:rFonts w:ascii="Times New Roman" w:hAnsi="Times New Roman"/>
          <w:i/>
          <w:iCs/>
          <w:noProof/>
          <w:sz w:val="24"/>
          <w:szCs w:val="24"/>
        </w:rPr>
        <w:t>2</w:t>
      </w:r>
      <w:r w:rsidRPr="00430EF7">
        <w:rPr>
          <w:rFonts w:ascii="Times New Roman" w:hAnsi="Times New Roman"/>
          <w:noProof/>
          <w:sz w:val="24"/>
          <w:szCs w:val="24"/>
        </w:rPr>
        <w:t>(1), 60–75.</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Waluyo, H. J. (2005). </w:t>
      </w:r>
      <w:r w:rsidRPr="00430EF7">
        <w:rPr>
          <w:rFonts w:ascii="Times New Roman" w:hAnsi="Times New Roman"/>
          <w:i/>
          <w:iCs/>
          <w:noProof/>
          <w:sz w:val="24"/>
          <w:szCs w:val="24"/>
        </w:rPr>
        <w:t>Apresiasi Puisi</w:t>
      </w:r>
      <w:r w:rsidRPr="00430EF7">
        <w:rPr>
          <w:rFonts w:ascii="Times New Roman" w:hAnsi="Times New Roman"/>
          <w:noProof/>
          <w:sz w:val="24"/>
          <w:szCs w:val="24"/>
        </w:rPr>
        <w:t>. Jakarta: Gramedia.</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Yanda, D P, Ramadhanti, D., Afrinda, P. D., Bahardur, I., &amp; Ihsan, M. K. (2019). The Potential of Circ’s Model in Poetry Learning at Higher Education. In </w:t>
      </w:r>
      <w:r w:rsidRPr="00430EF7">
        <w:rPr>
          <w:rFonts w:ascii="Times New Roman" w:hAnsi="Times New Roman"/>
          <w:i/>
          <w:iCs/>
          <w:noProof/>
          <w:sz w:val="24"/>
          <w:szCs w:val="24"/>
        </w:rPr>
        <w:t>ICEL 2019, March 23-24, Malang, Indonesia</w:t>
      </w:r>
      <w:r w:rsidRPr="00430EF7">
        <w:rPr>
          <w:rFonts w:ascii="Times New Roman" w:hAnsi="Times New Roman"/>
          <w:noProof/>
          <w:sz w:val="24"/>
          <w:szCs w:val="24"/>
        </w:rPr>
        <w:t>. https://doi.org/10.4108/eai.23-3-2019.2284977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Yanda, Diyan Permata. (2018). Effect of Cooperative Learning Model Type Student Team Achievement Division ( STAD ) on Skill Understanding Poetry. In </w:t>
      </w:r>
      <w:r w:rsidRPr="00430EF7">
        <w:rPr>
          <w:rFonts w:ascii="Times New Roman" w:hAnsi="Times New Roman"/>
          <w:i/>
          <w:iCs/>
          <w:noProof/>
          <w:sz w:val="24"/>
          <w:szCs w:val="24"/>
        </w:rPr>
        <w:t>Sixth Int. Conf. Lang. Arts (ICLA 2017)</w:t>
      </w:r>
      <w:r w:rsidRPr="00430EF7">
        <w:rPr>
          <w:rFonts w:ascii="Times New Roman" w:hAnsi="Times New Roman"/>
          <w:noProof/>
          <w:sz w:val="24"/>
          <w:szCs w:val="24"/>
        </w:rPr>
        <w:t xml:space="preserve"> (Vol. 148, pp. 403–407).</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Yuliani, N. (2019). The Role of Student Teams Achievement Divisions (STAD) in Improving Student’s Learning Outcomes. </w:t>
      </w:r>
      <w:r w:rsidRPr="00430EF7">
        <w:rPr>
          <w:rFonts w:ascii="Times New Roman" w:hAnsi="Times New Roman"/>
          <w:i/>
          <w:iCs/>
          <w:noProof/>
          <w:sz w:val="24"/>
          <w:szCs w:val="24"/>
        </w:rPr>
        <w:t>Classroom Action Research Journal</w:t>
      </w:r>
      <w:r w:rsidRPr="00430EF7">
        <w:rPr>
          <w:rFonts w:ascii="Times New Roman" w:hAnsi="Times New Roman"/>
          <w:noProof/>
          <w:sz w:val="24"/>
          <w:szCs w:val="24"/>
        </w:rPr>
        <w:t xml:space="preserve">, </w:t>
      </w:r>
      <w:r w:rsidRPr="00430EF7">
        <w:rPr>
          <w:rFonts w:ascii="Times New Roman" w:hAnsi="Times New Roman"/>
          <w:i/>
          <w:iCs/>
          <w:noProof/>
          <w:sz w:val="24"/>
          <w:szCs w:val="24"/>
        </w:rPr>
        <w:t>3</w:t>
      </w:r>
      <w:r w:rsidRPr="00430EF7">
        <w:rPr>
          <w:rFonts w:ascii="Times New Roman" w:hAnsi="Times New Roman"/>
          <w:noProof/>
          <w:sz w:val="24"/>
          <w:szCs w:val="24"/>
        </w:rPr>
        <w:t>(1), 8–15. https://doi.org/10.17977/um013v3i12019p008</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Yuliawati, D., Wiyanarti, E., &amp; Kurniawati, Y. (n.d.). Implementation of Cooperative Learning Model Student Teams-Achievement Division (STAD) Type to Improve Student Cooperation in Social Science Learning, 25–31.</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szCs w:val="24"/>
        </w:rPr>
      </w:pPr>
      <w:r w:rsidRPr="00430EF7">
        <w:rPr>
          <w:rFonts w:ascii="Times New Roman" w:hAnsi="Times New Roman"/>
          <w:noProof/>
          <w:sz w:val="24"/>
          <w:szCs w:val="24"/>
        </w:rPr>
        <w:t xml:space="preserve">Yusuf, A. M. (2007). </w:t>
      </w:r>
      <w:r w:rsidRPr="00430EF7">
        <w:rPr>
          <w:rFonts w:ascii="Times New Roman" w:hAnsi="Times New Roman"/>
          <w:i/>
          <w:iCs/>
          <w:noProof/>
          <w:sz w:val="24"/>
          <w:szCs w:val="24"/>
        </w:rPr>
        <w:t>Metodologi Penelitian: Dasar-Dasar Penyelidikan Ilmiah</w:t>
      </w:r>
      <w:r w:rsidRPr="00430EF7">
        <w:rPr>
          <w:rFonts w:ascii="Times New Roman" w:hAnsi="Times New Roman"/>
          <w:noProof/>
          <w:sz w:val="24"/>
          <w:szCs w:val="24"/>
        </w:rPr>
        <w:t xml:space="preserve">. </w:t>
      </w:r>
      <w:r w:rsidRPr="00430EF7">
        <w:rPr>
          <w:rFonts w:ascii="Times New Roman" w:hAnsi="Times New Roman"/>
          <w:noProof/>
          <w:sz w:val="24"/>
          <w:szCs w:val="24"/>
        </w:rPr>
        <w:lastRenderedPageBreak/>
        <w:t>Padang: UNP Press.</w:t>
      </w:r>
    </w:p>
    <w:p w:rsidR="00894545" w:rsidRPr="00430EF7" w:rsidRDefault="00894545" w:rsidP="00894545">
      <w:pPr>
        <w:widowControl w:val="0"/>
        <w:autoSpaceDE w:val="0"/>
        <w:autoSpaceDN w:val="0"/>
        <w:adjustRightInd w:val="0"/>
        <w:spacing w:after="0" w:line="240" w:lineRule="auto"/>
        <w:ind w:left="480" w:hanging="480"/>
        <w:rPr>
          <w:rFonts w:ascii="Times New Roman" w:hAnsi="Times New Roman"/>
          <w:noProof/>
          <w:sz w:val="24"/>
        </w:rPr>
      </w:pPr>
      <w:r w:rsidRPr="00430EF7">
        <w:rPr>
          <w:rFonts w:ascii="Times New Roman" w:hAnsi="Times New Roman"/>
          <w:noProof/>
          <w:sz w:val="24"/>
          <w:szCs w:val="24"/>
        </w:rPr>
        <w:t xml:space="preserve">Zainuddin. (2015). The Effect of Cooperative Integrated Reading and Composition Technique on Students’ Reading Descriptive Text Achievement. </w:t>
      </w:r>
      <w:r w:rsidRPr="00430EF7">
        <w:rPr>
          <w:rFonts w:ascii="Times New Roman" w:hAnsi="Times New Roman"/>
          <w:i/>
          <w:iCs/>
          <w:noProof/>
          <w:sz w:val="24"/>
          <w:szCs w:val="24"/>
        </w:rPr>
        <w:t>English Language Teaching</w:t>
      </w:r>
      <w:r w:rsidRPr="00430EF7">
        <w:rPr>
          <w:rFonts w:ascii="Times New Roman" w:hAnsi="Times New Roman"/>
          <w:noProof/>
          <w:sz w:val="24"/>
          <w:szCs w:val="24"/>
        </w:rPr>
        <w:t xml:space="preserve">, </w:t>
      </w:r>
      <w:r w:rsidRPr="00430EF7">
        <w:rPr>
          <w:rFonts w:ascii="Times New Roman" w:hAnsi="Times New Roman"/>
          <w:i/>
          <w:iCs/>
          <w:noProof/>
          <w:sz w:val="24"/>
          <w:szCs w:val="24"/>
        </w:rPr>
        <w:t>8</w:t>
      </w:r>
      <w:r w:rsidRPr="00430EF7">
        <w:rPr>
          <w:rFonts w:ascii="Times New Roman" w:hAnsi="Times New Roman"/>
          <w:noProof/>
          <w:sz w:val="24"/>
          <w:szCs w:val="24"/>
        </w:rPr>
        <w:t>(5), 11–21. https://doi.org/10.5539/elt.v8n5p11</w:t>
      </w:r>
    </w:p>
    <w:p w:rsidR="00894545" w:rsidRPr="00430EF7" w:rsidRDefault="00894545" w:rsidP="00894545">
      <w:pPr>
        <w:widowControl w:val="0"/>
        <w:autoSpaceDE w:val="0"/>
        <w:autoSpaceDN w:val="0"/>
        <w:adjustRightInd w:val="0"/>
        <w:spacing w:after="0" w:line="240" w:lineRule="auto"/>
        <w:ind w:left="480" w:hanging="480"/>
        <w:rPr>
          <w:noProof/>
        </w:rPr>
      </w:pPr>
      <w:r w:rsidRPr="00430EF7">
        <w:rPr>
          <w:noProof/>
        </w:rPr>
        <w:fldChar w:fldCharType="end"/>
      </w:r>
    </w:p>
    <w:p w:rsidR="00894545" w:rsidRPr="00430EF7" w:rsidRDefault="00894545" w:rsidP="00894545">
      <w:pPr>
        <w:ind w:left="567" w:hanging="567"/>
        <w:jc w:val="both"/>
        <w:rPr>
          <w:rFonts w:ascii="Times New Roman" w:hAnsi="Times New Roman"/>
          <w:i/>
          <w:iCs/>
          <w:noProof/>
          <w:sz w:val="24"/>
          <w:szCs w:val="24"/>
        </w:rPr>
      </w:pPr>
    </w:p>
    <w:p w:rsidR="002908E8" w:rsidRDefault="00706B19"/>
    <w:sectPr w:rsidR="002908E8" w:rsidSect="00E733A1">
      <w:headerReference w:type="default" r:id="rId6"/>
      <w:footerReference w:type="default" r:id="rId7"/>
      <w:pgSz w:w="11906" w:h="16838"/>
      <w:pgMar w:top="1701" w:right="1700" w:bottom="1560" w:left="1701" w:header="426" w:footer="442"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A4" w:rsidRDefault="00706B19" w:rsidP="00E733A1">
    <w:pPr>
      <w:pStyle w:val="Footer"/>
      <w:spacing w:after="0" w:line="240" w:lineRule="auto"/>
      <w:jc w:val="right"/>
      <w:rPr>
        <w:rFonts w:ascii="Times New Roman" w:hAnsi="Times New Roman"/>
        <w:sz w:val="20"/>
        <w:szCs w:val="20"/>
      </w:rPr>
    </w:pPr>
  </w:p>
  <w:p w:rsidR="000478A4" w:rsidRPr="001C6E27" w:rsidRDefault="00706B19" w:rsidP="00E733A1">
    <w:pPr>
      <w:pStyle w:val="Footer"/>
      <w:spacing w:after="0" w:line="240" w:lineRule="auto"/>
      <w:jc w:val="right"/>
      <w:rPr>
        <w:rFonts w:ascii="Berlin Sans FB" w:hAnsi="Berlin Sans FB"/>
        <w:noProof/>
        <w:sz w:val="20"/>
        <w:szCs w:val="20"/>
      </w:rPr>
    </w:pPr>
    <w:r w:rsidRPr="001C6E27">
      <w:rPr>
        <w:rFonts w:ascii="Berlin Sans FB" w:hAnsi="Berlin Sans FB"/>
        <w:sz w:val="20"/>
        <w:szCs w:val="20"/>
      </w:rPr>
      <w:fldChar w:fldCharType="begin"/>
    </w:r>
    <w:r w:rsidRPr="001C6E27">
      <w:rPr>
        <w:rFonts w:ascii="Berlin Sans FB" w:hAnsi="Berlin Sans FB"/>
        <w:sz w:val="20"/>
        <w:szCs w:val="20"/>
      </w:rPr>
      <w:instrText xml:space="preserve"> PAGE   \* MERGEFORMAT </w:instrText>
    </w:r>
    <w:r w:rsidRPr="001C6E27">
      <w:rPr>
        <w:rFonts w:ascii="Berlin Sans FB" w:hAnsi="Berlin Sans FB"/>
        <w:sz w:val="20"/>
        <w:szCs w:val="20"/>
      </w:rPr>
      <w:fldChar w:fldCharType="separate"/>
    </w:r>
    <w:r>
      <w:rPr>
        <w:rFonts w:ascii="Berlin Sans FB" w:hAnsi="Berlin Sans FB"/>
        <w:noProof/>
        <w:sz w:val="20"/>
        <w:szCs w:val="20"/>
      </w:rPr>
      <w:t>11</w:t>
    </w:r>
    <w:r w:rsidRPr="001C6E27">
      <w:rPr>
        <w:rFonts w:ascii="Berlin Sans FB" w:hAnsi="Berlin Sans FB"/>
        <w:noProof/>
        <w:sz w:val="20"/>
        <w:szCs w:val="20"/>
      </w:rPr>
      <w:fldChar w:fldCharType="end"/>
    </w:r>
  </w:p>
  <w:p w:rsidR="000478A4" w:rsidRPr="001C6E27" w:rsidRDefault="00706B19" w:rsidP="00E733A1">
    <w:pPr>
      <w:pStyle w:val="Footer"/>
      <w:tabs>
        <w:tab w:val="center" w:pos="4395"/>
        <w:tab w:val="right" w:pos="8788"/>
      </w:tabs>
      <w:spacing w:after="0" w:line="240" w:lineRule="auto"/>
      <w:jc w:val="right"/>
      <w:rPr>
        <w:rFonts w:ascii="Berlin Sans FB" w:hAnsi="Berlin Sans FB"/>
        <w:i/>
        <w:noProof/>
        <w:sz w:val="20"/>
        <w:szCs w:val="20"/>
      </w:rPr>
    </w:pPr>
    <w:r w:rsidRPr="001C6E27">
      <w:rPr>
        <w:rFonts w:ascii="Berlin Sans FB" w:hAnsi="Berlin Sans FB"/>
        <w:noProof/>
        <w:sz w:val="20"/>
        <w:szCs w:val="20"/>
      </w:rPr>
      <w:t>First Autho</w:t>
    </w:r>
    <w:r w:rsidRPr="001C6E27">
      <w:rPr>
        <w:rFonts w:ascii="Berlin Sans FB" w:hAnsi="Berlin Sans FB"/>
        <w:noProof/>
        <w:sz w:val="20"/>
        <w:szCs w:val="20"/>
      </w:rPr>
      <w:t>r et.al</w:t>
    </w:r>
    <w:r w:rsidRPr="001C6E27">
      <w:rPr>
        <w:rFonts w:ascii="Berlin Sans FB" w:hAnsi="Berlin Sans FB"/>
        <w:i/>
        <w:noProof/>
        <w:sz w:val="20"/>
        <w:szCs w:val="20"/>
      </w:rPr>
      <w:t xml:space="preserve"> (Title of paper shortly)</w:t>
    </w:r>
  </w:p>
  <w:p w:rsidR="000478A4" w:rsidRPr="001C6E27" w:rsidRDefault="00706B19" w:rsidP="00E733A1">
    <w:pPr>
      <w:pStyle w:val="Footer"/>
      <w:tabs>
        <w:tab w:val="center" w:pos="4395"/>
        <w:tab w:val="right" w:pos="8788"/>
      </w:tabs>
      <w:spacing w:after="0" w:line="240" w:lineRule="auto"/>
      <w:jc w:val="right"/>
      <w:rPr>
        <w:rFonts w:ascii="Berlin Sans FB" w:hAnsi="Berlin Sans FB"/>
        <w:sz w:val="20"/>
        <w:szCs w:val="20"/>
      </w:rPr>
    </w:pPr>
    <w:r w:rsidRPr="001C6E27">
      <w:rPr>
        <w:rFonts w:ascii="Berlin Sans FB" w:hAnsi="Berlin Sans FB"/>
        <w:sz w:val="20"/>
        <w:szCs w:val="20"/>
      </w:rPr>
      <w:t xml:space="preserve">DOI: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A4" w:rsidRPr="006B313F" w:rsidRDefault="00706B19" w:rsidP="00652947">
    <w:pPr>
      <w:pStyle w:val="Header"/>
      <w:tabs>
        <w:tab w:val="center" w:pos="4395"/>
      </w:tabs>
      <w:spacing w:after="0" w:line="240" w:lineRule="auto"/>
      <w:jc w:val="center"/>
      <w:rPr>
        <w:rFonts w:ascii="Berlin Sans FB" w:hAnsi="Berlin Sans FB"/>
        <w:noProof/>
        <w:sz w:val="20"/>
        <w:szCs w:val="20"/>
      </w:rPr>
    </w:pPr>
    <w:r w:rsidRPr="006B313F">
      <w:rPr>
        <w:rFonts w:ascii="Berlin Sans FB" w:hAnsi="Berlin Sans F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68.1pt;width:47.05pt;height:47.6pt;z-index:251661312;mso-position-horizontal-relative:margin;mso-position-vertical-relative:margin">
          <v:imagedata r:id="rId1" o:title="logo IAIN Cirebon"/>
          <w10:wrap type="square" anchorx="margin" anchory="margin"/>
        </v:shape>
      </w:pict>
    </w:r>
    <w:r w:rsidRPr="006B313F">
      <w:rPr>
        <w:rFonts w:ascii="Berlin Sans FB" w:hAnsi="Berlin Sans FB"/>
        <w:noProof/>
        <w:sz w:val="20"/>
        <w:szCs w:val="20"/>
      </w:rPr>
      <w:pict>
        <v:shape id="Picture 10" o:spid="_x0000_s1025" type="#_x0000_t75" alt="logo ile&amp;l copy" style="position:absolute;left:0;text-align:left;margin-left:375.75pt;margin-top:-67.5pt;width:49.5pt;height:49.5pt;z-index:251660288;visibility:visible;mso-position-horizontal-relative:margin;mso-position-vertical-relative:margin">
          <v:imagedata r:id="rId2" o:title="logo ile&amp;l copy"/>
          <w10:wrap type="square" anchorx="margin" anchory="margin"/>
        </v:shape>
      </w:pict>
    </w:r>
    <w:r w:rsidRPr="006B313F">
      <w:rPr>
        <w:rFonts w:ascii="Berlin Sans FB" w:hAnsi="Berlin Sans FB"/>
        <w:sz w:val="20"/>
        <w:szCs w:val="20"/>
      </w:rPr>
      <w:t xml:space="preserve">Indonesian </w:t>
    </w:r>
    <w:r w:rsidRPr="006B313F">
      <w:rPr>
        <w:rFonts w:ascii="Berlin Sans FB" w:hAnsi="Berlin Sans FB"/>
        <w:sz w:val="20"/>
        <w:szCs w:val="20"/>
      </w:rPr>
      <w:t>Language Education and Literature</w:t>
    </w:r>
  </w:p>
  <w:p w:rsidR="000478A4" w:rsidRPr="006B313F" w:rsidRDefault="00706B19" w:rsidP="00652947">
    <w:pPr>
      <w:pStyle w:val="Header"/>
      <w:tabs>
        <w:tab w:val="left" w:pos="5655"/>
      </w:tabs>
      <w:spacing w:after="0" w:line="240" w:lineRule="auto"/>
      <w:jc w:val="center"/>
      <w:rPr>
        <w:rFonts w:ascii="Berlin Sans FB" w:hAnsi="Berlin Sans FB"/>
        <w:sz w:val="20"/>
        <w:szCs w:val="20"/>
      </w:rPr>
    </w:pPr>
    <w:r w:rsidRPr="006B313F">
      <w:rPr>
        <w:rFonts w:ascii="Berlin Sans FB" w:hAnsi="Berlin Sans FB"/>
        <w:sz w:val="20"/>
        <w:szCs w:val="20"/>
      </w:rPr>
      <w:t>e-ISSN: 2502-2261</w:t>
    </w:r>
  </w:p>
  <w:p w:rsidR="000478A4" w:rsidRPr="006B313F" w:rsidRDefault="00706B19" w:rsidP="00652947">
    <w:pPr>
      <w:pStyle w:val="Header"/>
      <w:spacing w:after="0" w:line="240" w:lineRule="auto"/>
      <w:jc w:val="center"/>
      <w:rPr>
        <w:rStyle w:val="Hyperlink"/>
        <w:rFonts w:ascii="Berlin Sans FB" w:hAnsi="Berlin Sans FB"/>
        <w:color w:val="auto"/>
        <w:sz w:val="20"/>
        <w:szCs w:val="20"/>
        <w:u w:val="none"/>
      </w:rPr>
    </w:pPr>
    <w:hyperlink r:id="rId3" w:history="1">
      <w:r w:rsidRPr="006B313F">
        <w:rPr>
          <w:rStyle w:val="Hyperlink"/>
          <w:rFonts w:ascii="Berlin Sans FB" w:hAnsi="Berlin Sans FB"/>
          <w:color w:val="auto"/>
          <w:sz w:val="20"/>
          <w:szCs w:val="20"/>
          <w:u w:val="none"/>
        </w:rPr>
        <w:t>http://www.syekhnurjati.ac.id/jurnal/index.php/jeill/</w:t>
      </w:r>
    </w:hyperlink>
  </w:p>
  <w:p w:rsidR="000478A4" w:rsidRPr="001C6E27" w:rsidRDefault="00706B19" w:rsidP="00652947">
    <w:pPr>
      <w:pStyle w:val="Header"/>
      <w:spacing w:after="0" w:line="240" w:lineRule="auto"/>
      <w:jc w:val="center"/>
      <w:rPr>
        <w:rFonts w:ascii="Berlin Sans FB" w:hAnsi="Berlin Sans FB"/>
        <w:sz w:val="24"/>
        <w:szCs w:val="24"/>
      </w:rPr>
    </w:pPr>
    <w:r>
      <w:rPr>
        <w:rFonts w:ascii="Berlin Sans FB" w:hAnsi="Berlin Sans FB"/>
        <w:sz w:val="20"/>
        <w:szCs w:val="20"/>
      </w:rPr>
      <w:t>Vol. 5, No. 1, Desember 2019</w:t>
    </w:r>
    <w:r w:rsidRPr="006B313F">
      <w:rPr>
        <w:rFonts w:ascii="Berlin Sans FB" w:hAnsi="Berlin Sans FB"/>
        <w:sz w:val="20"/>
        <w:szCs w:val="20"/>
      </w:rPr>
      <w:t xml:space="preserve">, xx </w:t>
    </w:r>
    <w:r w:rsidRPr="006B313F">
      <w:rPr>
        <w:rFonts w:ascii="Berlin Sans FB" w:hAnsi="Berlin Sans FB"/>
        <w:sz w:val="20"/>
        <w:szCs w:val="20"/>
      </w:rPr>
      <w:t>–</w:t>
    </w:r>
    <w:r w:rsidRPr="006B313F">
      <w:rPr>
        <w:rFonts w:ascii="Berlin Sans FB" w:hAnsi="Berlin Sans FB"/>
        <w:sz w:val="20"/>
        <w:szCs w:val="20"/>
      </w:rPr>
      <w:t xml:space="preserve"> 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074"/>
    <o:shapelayout v:ext="edit">
      <o:idmap v:ext="edit" data="1"/>
    </o:shapelayout>
  </w:hdrShapeDefaults>
  <w:compat/>
  <w:rsids>
    <w:rsidRoot w:val="00894545"/>
    <w:rsid w:val="00061A48"/>
    <w:rsid w:val="00187DC5"/>
    <w:rsid w:val="001E3207"/>
    <w:rsid w:val="001F363B"/>
    <w:rsid w:val="002016CC"/>
    <w:rsid w:val="002E4F85"/>
    <w:rsid w:val="0031535E"/>
    <w:rsid w:val="0035045A"/>
    <w:rsid w:val="003728AD"/>
    <w:rsid w:val="0054104A"/>
    <w:rsid w:val="006D5D73"/>
    <w:rsid w:val="006D75CC"/>
    <w:rsid w:val="00706B19"/>
    <w:rsid w:val="007D0D8F"/>
    <w:rsid w:val="00831F66"/>
    <w:rsid w:val="00894545"/>
    <w:rsid w:val="009B2954"/>
    <w:rsid w:val="00CD3FE9"/>
    <w:rsid w:val="00D94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45"/>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545"/>
    <w:pPr>
      <w:tabs>
        <w:tab w:val="center" w:pos="4513"/>
        <w:tab w:val="right" w:pos="9026"/>
      </w:tabs>
    </w:pPr>
    <w:rPr>
      <w:lang/>
    </w:rPr>
  </w:style>
  <w:style w:type="character" w:customStyle="1" w:styleId="HeaderChar">
    <w:name w:val="Header Char"/>
    <w:basedOn w:val="DefaultParagraphFont"/>
    <w:link w:val="Header"/>
    <w:uiPriority w:val="99"/>
    <w:rsid w:val="00894545"/>
    <w:rPr>
      <w:rFonts w:ascii="Calibri" w:eastAsia="Calibri" w:hAnsi="Calibri" w:cs="Times New Roman"/>
      <w:lang/>
    </w:rPr>
  </w:style>
  <w:style w:type="paragraph" w:styleId="Footer">
    <w:name w:val="footer"/>
    <w:basedOn w:val="Normal"/>
    <w:link w:val="FooterChar"/>
    <w:uiPriority w:val="99"/>
    <w:unhideWhenUsed/>
    <w:rsid w:val="00894545"/>
    <w:pPr>
      <w:tabs>
        <w:tab w:val="center" w:pos="4513"/>
        <w:tab w:val="right" w:pos="9026"/>
      </w:tabs>
    </w:pPr>
    <w:rPr>
      <w:lang/>
    </w:rPr>
  </w:style>
  <w:style w:type="character" w:customStyle="1" w:styleId="FooterChar">
    <w:name w:val="Footer Char"/>
    <w:basedOn w:val="DefaultParagraphFont"/>
    <w:link w:val="Footer"/>
    <w:uiPriority w:val="99"/>
    <w:rsid w:val="00894545"/>
    <w:rPr>
      <w:rFonts w:ascii="Calibri" w:eastAsia="Calibri" w:hAnsi="Calibri" w:cs="Times New Roman"/>
      <w:lang/>
    </w:rPr>
  </w:style>
  <w:style w:type="character" w:styleId="Hyperlink">
    <w:name w:val="Hyperlink"/>
    <w:uiPriority w:val="99"/>
    <w:unhideWhenUsed/>
    <w:rsid w:val="00894545"/>
    <w:rPr>
      <w:color w:val="0000FF"/>
      <w:u w:val="single"/>
    </w:rPr>
  </w:style>
  <w:style w:type="paragraph" w:customStyle="1" w:styleId="AuthorAffiliation">
    <w:name w:val="AuthorAffiliation"/>
    <w:next w:val="Normal"/>
    <w:rsid w:val="00894545"/>
    <w:pPr>
      <w:suppressAutoHyphens/>
      <w:spacing w:after="0" w:line="200" w:lineRule="exact"/>
      <w:jc w:val="center"/>
    </w:pPr>
    <w:rPr>
      <w:rFonts w:ascii="Times New Roman" w:eastAsia="SimSun" w:hAnsi="Times New Roman" w:cs="Times New Roman"/>
      <w:i/>
      <w:noProof/>
      <w:sz w:val="16"/>
      <w:szCs w:val="20"/>
    </w:rPr>
  </w:style>
  <w:style w:type="paragraph" w:customStyle="1" w:styleId="Articlehistory">
    <w:name w:val="Articlehistory"/>
    <w:rsid w:val="00894545"/>
    <w:pPr>
      <w:spacing w:after="0" w:line="200" w:lineRule="exact"/>
    </w:pPr>
    <w:rPr>
      <w:rFonts w:ascii="Times New Roman" w:eastAsia="Times New Roman" w:hAnsi="Times New Roman" w:cs="Times New Roman"/>
      <w:i/>
      <w:sz w:val="16"/>
      <w:szCs w:val="20"/>
    </w:rPr>
  </w:style>
  <w:style w:type="paragraph" w:customStyle="1" w:styleId="Keyword">
    <w:name w:val="Keyword"/>
    <w:rsid w:val="00894545"/>
    <w:pPr>
      <w:spacing w:after="0" w:line="200" w:lineRule="exact"/>
    </w:pPr>
    <w:rPr>
      <w:rFonts w:ascii="Times New Roman" w:eastAsia="Times New Roman" w:hAnsi="Times New Roman" w:cs="Times New Roman"/>
      <w:sz w:val="16"/>
      <w:szCs w:val="20"/>
    </w:rPr>
  </w:style>
  <w:style w:type="paragraph" w:customStyle="1" w:styleId="KeywordHead">
    <w:name w:val="KeywordHead"/>
    <w:next w:val="Keyword"/>
    <w:rsid w:val="00894545"/>
    <w:pPr>
      <w:spacing w:after="0" w:line="200" w:lineRule="exact"/>
    </w:pPr>
    <w:rPr>
      <w:rFonts w:ascii="Times New Roman" w:eastAsia="Times New Roman" w:hAnsi="Times New Roman" w:cs="Times New Roman"/>
      <w:i/>
      <w:noProof/>
      <w:sz w:val="16"/>
      <w:szCs w:val="20"/>
    </w:rPr>
  </w:style>
  <w:style w:type="paragraph" w:customStyle="1" w:styleId="Copyright">
    <w:name w:val="Copyright"/>
    <w:basedOn w:val="Normal"/>
    <w:qFormat/>
    <w:rsid w:val="00894545"/>
    <w:pPr>
      <w:framePr w:hSpace="187" w:wrap="around" w:vAnchor="text" w:hAnchor="text" w:y="1"/>
      <w:spacing w:after="0" w:line="200" w:lineRule="exact"/>
      <w:suppressOverlap/>
      <w:jc w:val="right"/>
    </w:pPr>
    <w:rPr>
      <w:rFonts w:ascii="Times New Roman" w:eastAsia="Times New Roman" w:hAnsi="Times New Roman"/>
      <w:sz w:val="17"/>
      <w:szCs w:val="14"/>
      <w:lang/>
    </w:rPr>
  </w:style>
  <w:style w:type="paragraph" w:styleId="NormalWeb">
    <w:name w:val="Normal (Web)"/>
    <w:basedOn w:val="Normal"/>
    <w:uiPriority w:val="99"/>
    <w:unhideWhenUsed/>
    <w:rsid w:val="00894545"/>
    <w:pPr>
      <w:spacing w:before="100" w:beforeAutospacing="1" w:after="100" w:afterAutospacing="1" w:line="240" w:lineRule="auto"/>
    </w:pPr>
    <w:rPr>
      <w:rFonts w:ascii="Times New Roman" w:eastAsia="Batang" w:hAnsi="Times New Roman"/>
      <w:sz w:val="24"/>
      <w:szCs w:val="24"/>
      <w:lang w:val="en-US"/>
    </w:rPr>
  </w:style>
  <w:style w:type="character" w:customStyle="1" w:styleId="notranslate">
    <w:name w:val="notranslate"/>
    <w:rsid w:val="00894545"/>
    <w:rPr>
      <w:rFonts w:cs="Times New Roman"/>
    </w:rPr>
  </w:style>
  <w:style w:type="paragraph" w:customStyle="1" w:styleId="BodytextMaJER">
    <w:name w:val="Body text MaJER"/>
    <w:basedOn w:val="Normal"/>
    <w:qFormat/>
    <w:rsid w:val="00894545"/>
    <w:pPr>
      <w:spacing w:after="0" w:line="240" w:lineRule="auto"/>
      <w:jc w:val="both"/>
    </w:pPr>
    <w:rPr>
      <w:rFonts w:ascii="Times New Roman" w:eastAsia="Times New Roman" w:hAnsi="Times New Roman"/>
      <w:snapToGrid w:val="0"/>
      <w:sz w:val="24"/>
      <w:szCs w:val="24"/>
      <w:lang w:val="en-GB"/>
    </w:rPr>
  </w:style>
  <w:style w:type="paragraph" w:customStyle="1" w:styleId="SectionHeadingMaJER">
    <w:name w:val="Section Heading MaJER"/>
    <w:basedOn w:val="Normal"/>
    <w:autoRedefine/>
    <w:qFormat/>
    <w:rsid w:val="00894545"/>
    <w:pPr>
      <w:spacing w:after="0" w:line="360" w:lineRule="auto"/>
      <w:jc w:val="both"/>
    </w:pPr>
    <w:rPr>
      <w:rFonts w:ascii="Times New Roman" w:eastAsia="Times New Roman" w:hAnsi="Times New Roman"/>
      <w:b/>
      <w:snapToGrid w:val="0"/>
      <w:sz w:val="24"/>
      <w:szCs w:val="24"/>
      <w:lang w:val="en-GB" w:eastAsia="es-ES"/>
    </w:rPr>
  </w:style>
  <w:style w:type="paragraph" w:styleId="ListParagraph">
    <w:name w:val="List Paragraph"/>
    <w:aliases w:val="Body of text,kepala 1,Colorful List - Accent 11,List Paragraph1"/>
    <w:basedOn w:val="Normal"/>
    <w:link w:val="ListParagraphChar"/>
    <w:uiPriority w:val="34"/>
    <w:qFormat/>
    <w:rsid w:val="00894545"/>
    <w:pPr>
      <w:spacing w:after="200" w:line="276" w:lineRule="auto"/>
      <w:ind w:left="720"/>
      <w:contextualSpacing/>
    </w:pPr>
    <w:rPr>
      <w:lang/>
    </w:rPr>
  </w:style>
  <w:style w:type="character" w:customStyle="1" w:styleId="ListParagraphChar">
    <w:name w:val="List Paragraph Char"/>
    <w:aliases w:val="Body of text Char,kepala 1 Char,Colorful List - Accent 11 Char,List Paragraph1 Char"/>
    <w:link w:val="ListParagraph"/>
    <w:uiPriority w:val="34"/>
    <w:rsid w:val="00894545"/>
    <w:rPr>
      <w:rFonts w:ascii="Calibri" w:eastAsia="Calibri" w:hAnsi="Calibri" w:cs="Times New Roman"/>
      <w:lang/>
    </w:rPr>
  </w:style>
  <w:style w:type="paragraph" w:customStyle="1" w:styleId="normal0">
    <w:name w:val="normal"/>
    <w:rsid w:val="00894545"/>
    <w:pPr>
      <w:spacing w:after="160" w:line="259" w:lineRule="auto"/>
    </w:pPr>
    <w:rPr>
      <w:rFonts w:ascii="Calibri" w:eastAsia="Calibri" w:hAnsi="Calibri" w:cs="Calibri"/>
      <w:lang w:val="en-GB"/>
    </w:rPr>
  </w:style>
  <w:style w:type="paragraph" w:styleId="BalloonText">
    <w:name w:val="Balloon Text"/>
    <w:basedOn w:val="Normal"/>
    <w:link w:val="BalloonTextChar"/>
    <w:uiPriority w:val="99"/>
    <w:semiHidden/>
    <w:unhideWhenUsed/>
    <w:rsid w:val="001F3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3B"/>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yekhnurjati.ac.id/jurnal/index.php/jeill/"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Sheet1!$B$1</c:f>
              <c:strCache>
                <c:ptCount val="1"/>
                <c:pt idx="0">
                  <c:v>Data Mahasiswa</c:v>
                </c:pt>
              </c:strCache>
            </c:strRef>
          </c:tx>
          <c:cat>
            <c:strRef>
              <c:f>Sheet1!$A$2:$A$7</c:f>
              <c:strCache>
                <c:ptCount val="6"/>
                <c:pt idx="0">
                  <c:v>58—62</c:v>
                </c:pt>
                <c:pt idx="1">
                  <c:v>63—67</c:v>
                </c:pt>
                <c:pt idx="2">
                  <c:v>68—72</c:v>
                </c:pt>
                <c:pt idx="3">
                  <c:v>73—77</c:v>
                </c:pt>
                <c:pt idx="4">
                  <c:v>78—82</c:v>
                </c:pt>
                <c:pt idx="5">
                  <c:v>83—88</c:v>
                </c:pt>
              </c:strCache>
            </c:strRef>
          </c:cat>
          <c:val>
            <c:numRef>
              <c:f>Sheet1!$B$2:$B$7</c:f>
              <c:numCache>
                <c:formatCode>General</c:formatCode>
                <c:ptCount val="6"/>
                <c:pt idx="0">
                  <c:v>3</c:v>
                </c:pt>
                <c:pt idx="1">
                  <c:v>5</c:v>
                </c:pt>
                <c:pt idx="2">
                  <c:v>5</c:v>
                </c:pt>
                <c:pt idx="3">
                  <c:v>0</c:v>
                </c:pt>
                <c:pt idx="4">
                  <c:v>8</c:v>
                </c:pt>
                <c:pt idx="5">
                  <c:v>9</c:v>
                </c:pt>
              </c:numCache>
            </c:numRef>
          </c:val>
        </c:ser>
        <c:ser>
          <c:idx val="1"/>
          <c:order val="1"/>
          <c:tx>
            <c:strRef>
              <c:f>Sheet1!$C$1</c:f>
              <c:strCache>
                <c:ptCount val="1"/>
                <c:pt idx="0">
                  <c:v>Series 2</c:v>
                </c:pt>
              </c:strCache>
            </c:strRef>
          </c:tx>
          <c:cat>
            <c:strRef>
              <c:f>Sheet1!$A$2:$A$7</c:f>
              <c:strCache>
                <c:ptCount val="6"/>
                <c:pt idx="0">
                  <c:v>58—62</c:v>
                </c:pt>
                <c:pt idx="1">
                  <c:v>63—67</c:v>
                </c:pt>
                <c:pt idx="2">
                  <c:v>68—72</c:v>
                </c:pt>
                <c:pt idx="3">
                  <c:v>73—77</c:v>
                </c:pt>
                <c:pt idx="4">
                  <c:v>78—82</c:v>
                </c:pt>
                <c:pt idx="5">
                  <c:v>83—88</c:v>
                </c:pt>
              </c:strCache>
            </c:strRef>
          </c:cat>
          <c:val>
            <c:numRef>
              <c:f>Sheet1!$C$2:$C$7</c:f>
            </c:numRef>
          </c:val>
        </c:ser>
        <c:ser>
          <c:idx val="2"/>
          <c:order val="2"/>
          <c:tx>
            <c:strRef>
              <c:f>Sheet1!$D$1</c:f>
              <c:strCache>
                <c:ptCount val="1"/>
                <c:pt idx="0">
                  <c:v>Series 3</c:v>
                </c:pt>
              </c:strCache>
            </c:strRef>
          </c:tx>
          <c:cat>
            <c:strRef>
              <c:f>Sheet1!$A$2:$A$7</c:f>
              <c:strCache>
                <c:ptCount val="6"/>
                <c:pt idx="0">
                  <c:v>58—62</c:v>
                </c:pt>
                <c:pt idx="1">
                  <c:v>63—67</c:v>
                </c:pt>
                <c:pt idx="2">
                  <c:v>68—72</c:v>
                </c:pt>
                <c:pt idx="3">
                  <c:v>73—77</c:v>
                </c:pt>
                <c:pt idx="4">
                  <c:v>78—82</c:v>
                </c:pt>
                <c:pt idx="5">
                  <c:v>83—88</c:v>
                </c:pt>
              </c:strCache>
            </c:strRef>
          </c:cat>
          <c:val>
            <c:numRef>
              <c:f>Sheet1!$D$2:$D$7</c:f>
            </c:numRef>
          </c:val>
        </c:ser>
        <c:axId val="115796608"/>
        <c:axId val="115819648"/>
      </c:barChart>
      <c:catAx>
        <c:axId val="115796608"/>
        <c:scaling>
          <c:orientation val="minMax"/>
        </c:scaling>
        <c:axPos val="b"/>
        <c:numFmt formatCode="General" sourceLinked="1"/>
        <c:tickLblPos val="nextTo"/>
        <c:crossAx val="115819648"/>
        <c:crosses val="autoZero"/>
        <c:auto val="1"/>
        <c:lblAlgn val="ctr"/>
        <c:lblOffset val="100"/>
      </c:catAx>
      <c:valAx>
        <c:axId val="115819648"/>
        <c:scaling>
          <c:orientation val="minMax"/>
        </c:scaling>
        <c:axPos val="l"/>
        <c:majorGridlines/>
        <c:numFmt formatCode="General" sourceLinked="1"/>
        <c:tickLblPos val="nextTo"/>
        <c:crossAx val="11579660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Sheet1!$B$1</c:f>
              <c:strCache>
                <c:ptCount val="1"/>
                <c:pt idx="0">
                  <c:v>Series 2</c:v>
                </c:pt>
              </c:strCache>
            </c:strRef>
          </c:tx>
          <c:cat>
            <c:strRef>
              <c:f>Sheet1!$A$2:$A$7</c:f>
              <c:strCache>
                <c:ptCount val="6"/>
                <c:pt idx="0">
                  <c:v>54—60</c:v>
                </c:pt>
                <c:pt idx="1">
                  <c:v>61—67</c:v>
                </c:pt>
                <c:pt idx="2">
                  <c:v>68—74</c:v>
                </c:pt>
                <c:pt idx="3">
                  <c:v>75—81</c:v>
                </c:pt>
                <c:pt idx="4">
                  <c:v>82—88</c:v>
                </c:pt>
                <c:pt idx="5">
                  <c:v>89—95</c:v>
                </c:pt>
              </c:strCache>
            </c:strRef>
          </c:cat>
          <c:val>
            <c:numRef>
              <c:f>Sheet1!$B$2:$B$7</c:f>
              <c:numCache>
                <c:formatCode>General</c:formatCode>
                <c:ptCount val="6"/>
                <c:pt idx="0">
                  <c:v>6</c:v>
                </c:pt>
                <c:pt idx="1">
                  <c:v>6</c:v>
                </c:pt>
                <c:pt idx="2">
                  <c:v>3</c:v>
                </c:pt>
                <c:pt idx="3">
                  <c:v>2</c:v>
                </c:pt>
                <c:pt idx="4">
                  <c:v>7</c:v>
                </c:pt>
                <c:pt idx="5">
                  <c:v>4</c:v>
                </c:pt>
              </c:numCache>
            </c:numRef>
          </c:val>
        </c:ser>
        <c:ser>
          <c:idx val="1"/>
          <c:order val="1"/>
          <c:tx>
            <c:strRef>
              <c:f>Sheet1!$C$1</c:f>
              <c:strCache>
                <c:ptCount val="1"/>
                <c:pt idx="0">
                  <c:v>Series 3</c:v>
                </c:pt>
              </c:strCache>
            </c:strRef>
          </c:tx>
          <c:cat>
            <c:strRef>
              <c:f>Sheet1!$A$2:$A$7</c:f>
              <c:strCache>
                <c:ptCount val="6"/>
                <c:pt idx="0">
                  <c:v>54—60</c:v>
                </c:pt>
                <c:pt idx="1">
                  <c:v>61—67</c:v>
                </c:pt>
                <c:pt idx="2">
                  <c:v>68—74</c:v>
                </c:pt>
                <c:pt idx="3">
                  <c:v>75—81</c:v>
                </c:pt>
                <c:pt idx="4">
                  <c:v>82—88</c:v>
                </c:pt>
                <c:pt idx="5">
                  <c:v>89—95</c:v>
                </c:pt>
              </c:strCache>
            </c:strRef>
          </c:cat>
          <c:val>
            <c:numRef>
              <c:f>Sheet1!$C$2:$C$7</c:f>
            </c:numRef>
          </c:val>
        </c:ser>
        <c:axId val="124607104"/>
        <c:axId val="124707200"/>
      </c:barChart>
      <c:catAx>
        <c:axId val="124607104"/>
        <c:scaling>
          <c:orientation val="minMax"/>
        </c:scaling>
        <c:axPos val="b"/>
        <c:numFmt formatCode="General" sourceLinked="1"/>
        <c:tickLblPos val="nextTo"/>
        <c:crossAx val="124707200"/>
        <c:crosses val="autoZero"/>
        <c:auto val="1"/>
        <c:lblAlgn val="ctr"/>
        <c:lblOffset val="100"/>
      </c:catAx>
      <c:valAx>
        <c:axId val="124707200"/>
        <c:scaling>
          <c:orientation val="minMax"/>
        </c:scaling>
        <c:axPos val="l"/>
        <c:majorGridlines/>
        <c:numFmt formatCode="General" sourceLinked="1"/>
        <c:tickLblPos val="nextTo"/>
        <c:crossAx val="124607104"/>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247</TotalTime>
  <Pages>14</Pages>
  <Words>14670</Words>
  <Characters>83625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2021-02-13T01:21:00Z</dcterms:created>
  <dcterms:modified xsi:type="dcterms:W3CDTF">2021-02-13T05:29:00Z</dcterms:modified>
</cp:coreProperties>
</file>