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FC0" w:rsidRPr="00460730" w:rsidRDefault="009D4BBE" w:rsidP="000A2E18">
      <w:pPr>
        <w:jc w:val="center"/>
        <w:rPr>
          <w:bCs/>
          <w:sz w:val="24"/>
          <w:szCs w:val="24"/>
          <w:lang w:val="id-ID"/>
        </w:rPr>
      </w:pPr>
      <w:r w:rsidRPr="009D4BBE">
        <w:rPr>
          <w:b/>
          <w:sz w:val="24"/>
          <w:szCs w:val="24"/>
          <w:lang w:val="id-ID"/>
        </w:rPr>
        <w:t>Sustainability of Public Finances during the COVID-19 Outbreak in Indonesia</w:t>
      </w:r>
    </w:p>
    <w:p w:rsidR="00AE289C" w:rsidRDefault="00AE289C" w:rsidP="005A1EF6">
      <w:pPr>
        <w:jc w:val="center"/>
        <w:rPr>
          <w:b/>
          <w:bCs/>
          <w:sz w:val="24"/>
          <w:szCs w:val="24"/>
          <w:shd w:val="clear" w:color="auto" w:fill="FFFFFF"/>
          <w:lang w:val="id-ID"/>
        </w:rPr>
      </w:pPr>
    </w:p>
    <w:p w:rsidR="005A1EF6" w:rsidRPr="00AE289C" w:rsidRDefault="009C23A7" w:rsidP="005A1EF6">
      <w:pPr>
        <w:jc w:val="center"/>
        <w:rPr>
          <w:b/>
          <w:bCs/>
          <w:sz w:val="24"/>
          <w:szCs w:val="24"/>
          <w:shd w:val="clear" w:color="auto" w:fill="FFFFFF"/>
          <w:lang w:val="id-ID"/>
        </w:rPr>
      </w:pPr>
      <w:r w:rsidRPr="00AE289C">
        <w:rPr>
          <w:b/>
          <w:bCs/>
          <w:sz w:val="24"/>
          <w:szCs w:val="24"/>
          <w:shd w:val="clear" w:color="auto" w:fill="FFFFFF"/>
          <w:lang w:val="id-ID"/>
        </w:rPr>
        <w:t>Aan J</w:t>
      </w:r>
      <w:r w:rsidR="009D4BBE" w:rsidRPr="00AE289C">
        <w:rPr>
          <w:b/>
          <w:bCs/>
          <w:sz w:val="24"/>
          <w:szCs w:val="24"/>
          <w:shd w:val="clear" w:color="auto" w:fill="FFFFFF"/>
          <w:lang w:val="id-ID"/>
        </w:rPr>
        <w:t xml:space="preserve">aelani </w:t>
      </w:r>
    </w:p>
    <w:p w:rsidR="005A1EF6" w:rsidRDefault="005A1EF6" w:rsidP="009D4BBE">
      <w:pPr>
        <w:jc w:val="center"/>
        <w:rPr>
          <w:sz w:val="24"/>
          <w:szCs w:val="24"/>
          <w:shd w:val="clear" w:color="auto" w:fill="FFFFFF"/>
          <w:lang w:val="id-ID"/>
        </w:rPr>
      </w:pPr>
      <w:r>
        <w:rPr>
          <w:sz w:val="24"/>
          <w:szCs w:val="24"/>
          <w:shd w:val="clear" w:color="auto" w:fill="FFFFFF"/>
          <w:lang w:val="id-ID"/>
        </w:rPr>
        <w:t>Associate Professor of Islamic Economic, IAIN Syekh Nurjati Cirebon</w:t>
      </w:r>
    </w:p>
    <w:p w:rsidR="005A1EF6" w:rsidRDefault="005A1EF6" w:rsidP="009D4BBE">
      <w:pPr>
        <w:jc w:val="center"/>
        <w:rPr>
          <w:sz w:val="24"/>
          <w:szCs w:val="24"/>
          <w:shd w:val="clear" w:color="auto" w:fill="FFFFFF"/>
          <w:lang w:val="id-ID"/>
        </w:rPr>
      </w:pPr>
      <w:r>
        <w:rPr>
          <w:sz w:val="24"/>
          <w:szCs w:val="24"/>
          <w:shd w:val="clear" w:color="auto" w:fill="FFFFFF"/>
          <w:lang w:val="id-ID"/>
        </w:rPr>
        <w:t xml:space="preserve">Email: </w:t>
      </w:r>
      <w:hyperlink r:id="rId8" w:history="1">
        <w:r w:rsidRPr="008B378B">
          <w:rPr>
            <w:rStyle w:val="Hyperlink"/>
            <w:sz w:val="24"/>
            <w:szCs w:val="24"/>
            <w:shd w:val="clear" w:color="auto" w:fill="FFFFFF"/>
            <w:lang w:val="id-ID"/>
          </w:rPr>
          <w:t>iainanjal@gmail.com</w:t>
        </w:r>
      </w:hyperlink>
    </w:p>
    <w:p w:rsidR="00246722" w:rsidRPr="00AE289C" w:rsidRDefault="009D4BBE" w:rsidP="009D4BBE">
      <w:pPr>
        <w:jc w:val="center"/>
        <w:rPr>
          <w:b/>
          <w:bCs/>
          <w:sz w:val="24"/>
          <w:szCs w:val="24"/>
          <w:shd w:val="clear" w:color="auto" w:fill="FFFFFF"/>
          <w:lang w:val="id-ID"/>
        </w:rPr>
      </w:pPr>
      <w:r w:rsidRPr="00AE289C">
        <w:rPr>
          <w:b/>
          <w:bCs/>
          <w:sz w:val="24"/>
          <w:szCs w:val="24"/>
          <w:shd w:val="clear" w:color="auto" w:fill="FFFFFF"/>
          <w:lang w:val="id-ID"/>
        </w:rPr>
        <w:t>Tika Fatichah Hanim</w:t>
      </w:r>
    </w:p>
    <w:p w:rsidR="005A1EF6" w:rsidRDefault="005A1EF6" w:rsidP="009D4BBE">
      <w:pPr>
        <w:jc w:val="center"/>
        <w:rPr>
          <w:sz w:val="24"/>
          <w:szCs w:val="24"/>
          <w:shd w:val="clear" w:color="auto" w:fill="FFFFFF"/>
          <w:lang w:val="id-ID"/>
        </w:rPr>
      </w:pPr>
      <w:r>
        <w:rPr>
          <w:sz w:val="24"/>
          <w:szCs w:val="24"/>
          <w:shd w:val="clear" w:color="auto" w:fill="FFFFFF"/>
          <w:lang w:val="id-ID"/>
        </w:rPr>
        <w:t>Graduate Student of Islamic Economics, IAIN Syekh Nurjati Cirebon</w:t>
      </w:r>
    </w:p>
    <w:p w:rsidR="005A1EF6" w:rsidRDefault="005A1EF6" w:rsidP="009D4BBE">
      <w:pPr>
        <w:jc w:val="center"/>
        <w:rPr>
          <w:sz w:val="24"/>
          <w:szCs w:val="24"/>
          <w:shd w:val="clear" w:color="auto" w:fill="FFFFFF"/>
          <w:lang w:val="id-ID"/>
        </w:rPr>
      </w:pPr>
      <w:r>
        <w:rPr>
          <w:sz w:val="24"/>
          <w:szCs w:val="24"/>
          <w:shd w:val="clear" w:color="auto" w:fill="FFFFFF"/>
          <w:lang w:val="id-ID"/>
        </w:rPr>
        <w:t xml:space="preserve">Email: </w:t>
      </w:r>
      <w:hyperlink r:id="rId9" w:history="1">
        <w:r w:rsidRPr="008B378B">
          <w:rPr>
            <w:rStyle w:val="Hyperlink"/>
            <w:sz w:val="24"/>
            <w:szCs w:val="24"/>
            <w:shd w:val="clear" w:color="auto" w:fill="FFFFFF"/>
            <w:lang w:val="id-ID"/>
          </w:rPr>
          <w:t>tikafatichahhanim2018@gmail.com</w:t>
        </w:r>
      </w:hyperlink>
    </w:p>
    <w:p w:rsidR="000D752E" w:rsidRDefault="000B3560" w:rsidP="0057347C">
      <w:pPr>
        <w:tabs>
          <w:tab w:val="left" w:pos="2860"/>
        </w:tabs>
        <w:jc w:val="both"/>
        <w:rPr>
          <w:sz w:val="24"/>
          <w:szCs w:val="24"/>
          <w:lang w:val="id-ID"/>
        </w:rPr>
      </w:pPr>
      <w:r w:rsidRPr="00460730">
        <w:rPr>
          <w:sz w:val="24"/>
          <w:szCs w:val="24"/>
        </w:rPr>
        <w:tab/>
      </w:r>
    </w:p>
    <w:p w:rsidR="005A1EF6" w:rsidRPr="005A1EF6" w:rsidRDefault="005A1EF6" w:rsidP="0057347C">
      <w:pPr>
        <w:tabs>
          <w:tab w:val="left" w:pos="2860"/>
        </w:tabs>
        <w:jc w:val="both"/>
        <w:rPr>
          <w:sz w:val="24"/>
          <w:szCs w:val="24"/>
          <w:lang w:val="id-ID"/>
        </w:rPr>
      </w:pPr>
    </w:p>
    <w:p w:rsidR="00BA77EC" w:rsidRPr="00460730" w:rsidRDefault="001E4B07" w:rsidP="005A1EF6">
      <w:pPr>
        <w:jc w:val="center"/>
        <w:rPr>
          <w:b/>
          <w:bCs/>
          <w:sz w:val="24"/>
          <w:szCs w:val="24"/>
          <w:lang w:val="id-ID"/>
        </w:rPr>
      </w:pPr>
      <w:r w:rsidRPr="00460730">
        <w:rPr>
          <w:b/>
          <w:bCs/>
          <w:sz w:val="24"/>
          <w:szCs w:val="24"/>
          <w:lang w:val="id-ID"/>
        </w:rPr>
        <w:t>ABSTRACT</w:t>
      </w:r>
    </w:p>
    <w:p w:rsidR="00AF173B" w:rsidRPr="00AF173B" w:rsidRDefault="00AF173B" w:rsidP="00AF173B">
      <w:pPr>
        <w:jc w:val="both"/>
        <w:rPr>
          <w:iCs/>
          <w:sz w:val="24"/>
          <w:szCs w:val="24"/>
          <w:lang w:val="id-ID"/>
        </w:rPr>
      </w:pPr>
      <w:r w:rsidRPr="00AF173B">
        <w:rPr>
          <w:iCs/>
          <w:sz w:val="24"/>
          <w:szCs w:val="24"/>
          <w:lang w:val="id-ID"/>
        </w:rPr>
        <w:t>This paper will describe the sustainability of public finances in the form of government policies in managing the budget for handling COVID-19 in Indonesia. The impact of this pandemic can cause an economic crisis in Indonesia so that the policies to be taken in the financial sector will determine the sustainability of public finance itself. The qualitative method applied in this paper by utilizing secondary data can provide analysis in the management of government finances for economic stimulus. Public finance which is the main source in achieving government goals for the welfare of the community is used to handle COVID-19 in the form of budget allocations to meet health infrastructure and various economic stimuli to ensure community survival, economic resilience in the industrial sector, and prepare for the continuation of current economic activities and after the pandemic ends.</w:t>
      </w:r>
    </w:p>
    <w:p w:rsidR="00AF173B" w:rsidRPr="00AF173B" w:rsidRDefault="00AF173B" w:rsidP="00AF173B">
      <w:pPr>
        <w:jc w:val="both"/>
        <w:rPr>
          <w:iCs/>
          <w:sz w:val="24"/>
          <w:szCs w:val="24"/>
          <w:lang w:val="id-ID"/>
        </w:rPr>
      </w:pPr>
    </w:p>
    <w:p w:rsidR="00D6780D" w:rsidRPr="00460730" w:rsidRDefault="00AF173B" w:rsidP="00AF173B">
      <w:pPr>
        <w:jc w:val="both"/>
        <w:rPr>
          <w:b/>
          <w:bCs/>
          <w:sz w:val="24"/>
          <w:szCs w:val="24"/>
        </w:rPr>
      </w:pPr>
      <w:r w:rsidRPr="00AF173B">
        <w:rPr>
          <w:b/>
          <w:bCs/>
          <w:iCs/>
          <w:sz w:val="24"/>
          <w:szCs w:val="24"/>
          <w:lang w:val="id-ID"/>
        </w:rPr>
        <w:t>Keywords</w:t>
      </w:r>
      <w:r w:rsidRPr="00AF173B">
        <w:rPr>
          <w:iCs/>
          <w:sz w:val="24"/>
          <w:szCs w:val="24"/>
          <w:lang w:val="id-ID"/>
        </w:rPr>
        <w:t>: Sustainabi</w:t>
      </w:r>
      <w:r w:rsidR="00E17897">
        <w:rPr>
          <w:iCs/>
          <w:sz w:val="24"/>
          <w:szCs w:val="24"/>
          <w:lang w:val="id-ID"/>
        </w:rPr>
        <w:t>lity, public finance, maqasid sh</w:t>
      </w:r>
      <w:r w:rsidRPr="00AF173B">
        <w:rPr>
          <w:iCs/>
          <w:sz w:val="24"/>
          <w:szCs w:val="24"/>
          <w:lang w:val="id-ID"/>
        </w:rPr>
        <w:t xml:space="preserve">ariah, COVID-19, </w:t>
      </w:r>
      <w:r>
        <w:rPr>
          <w:iCs/>
          <w:sz w:val="24"/>
          <w:szCs w:val="24"/>
          <w:lang w:val="id-ID"/>
        </w:rPr>
        <w:t>Coronaviruses</w:t>
      </w:r>
      <w:r w:rsidRPr="00AF173B">
        <w:rPr>
          <w:iCs/>
          <w:sz w:val="24"/>
          <w:szCs w:val="24"/>
          <w:lang w:val="id-ID"/>
        </w:rPr>
        <w:t>, economic stimulus</w:t>
      </w:r>
    </w:p>
    <w:p w:rsidR="00532BBB" w:rsidRPr="00460730" w:rsidRDefault="00532BBB" w:rsidP="0057347C">
      <w:pPr>
        <w:jc w:val="both"/>
        <w:rPr>
          <w:b/>
          <w:bCs/>
          <w:sz w:val="24"/>
          <w:szCs w:val="24"/>
          <w:lang w:val="id-ID"/>
        </w:rPr>
      </w:pPr>
    </w:p>
    <w:p w:rsidR="000D752E" w:rsidRPr="00381768" w:rsidRDefault="00381768" w:rsidP="00AF173B">
      <w:pPr>
        <w:jc w:val="both"/>
        <w:rPr>
          <w:b/>
          <w:bCs/>
          <w:sz w:val="24"/>
          <w:szCs w:val="24"/>
          <w:lang w:val="id-ID"/>
        </w:rPr>
      </w:pPr>
      <w:r>
        <w:rPr>
          <w:b/>
          <w:bCs/>
          <w:sz w:val="24"/>
          <w:szCs w:val="24"/>
          <w:lang w:val="id-ID"/>
        </w:rPr>
        <w:t xml:space="preserve">A. </w:t>
      </w:r>
      <w:r w:rsidR="00AF173B">
        <w:rPr>
          <w:b/>
          <w:bCs/>
          <w:sz w:val="24"/>
          <w:szCs w:val="24"/>
          <w:lang w:val="id-ID"/>
        </w:rPr>
        <w:t>Introduction</w:t>
      </w:r>
    </w:p>
    <w:p w:rsidR="00AF173B" w:rsidRPr="00AF173B" w:rsidRDefault="00AF173B" w:rsidP="00AF173B">
      <w:pPr>
        <w:ind w:firstLine="709"/>
        <w:jc w:val="both"/>
        <w:rPr>
          <w:color w:val="222222"/>
          <w:sz w:val="24"/>
          <w:szCs w:val="24"/>
          <w:lang w:val="id-ID"/>
        </w:rPr>
      </w:pPr>
      <w:r w:rsidRPr="00AF173B">
        <w:rPr>
          <w:color w:val="222222"/>
          <w:sz w:val="24"/>
          <w:szCs w:val="24"/>
          <w:lang w:val="id-ID"/>
        </w:rPr>
        <w:t>The whole world is currently being shaken by COVID-19. Not only health problems, but all areas of human life have experienced impacts that could cause a global recession, including the economy. Some facts show that the engine of world economic growth, such as China, the United States, and Europe is greatly affected. In the 1st quarter it is estimated that the contraction will reach -9 percent in China's GDP growth in 2020 and in the 2nd quarter there will be a -6 percent decline in US GDP growth in 2020; and in the fourth quarter would be far worse than the -2.2 percent growth recorded in 2008 (Bloomberg, 2020; Goldman Sachs, 2020).</w:t>
      </w:r>
    </w:p>
    <w:p w:rsidR="00AF173B" w:rsidRPr="00AF173B" w:rsidRDefault="00AF173B" w:rsidP="00AF173B">
      <w:pPr>
        <w:ind w:firstLine="709"/>
        <w:jc w:val="both"/>
        <w:rPr>
          <w:color w:val="222222"/>
          <w:sz w:val="24"/>
          <w:szCs w:val="24"/>
          <w:lang w:val="id-ID"/>
        </w:rPr>
      </w:pPr>
      <w:r w:rsidRPr="00AF173B">
        <w:rPr>
          <w:color w:val="222222"/>
          <w:sz w:val="24"/>
          <w:szCs w:val="24"/>
          <w:lang w:val="id-ID"/>
        </w:rPr>
        <w:t>COVID-19 with the effects of rapid and widespread transmission to the above countries will affect the entire economy globally. Reports from The Economist (2020) and CNN (2020) suggest that there has been a sharp decline in commodity prices since mid-February 2020, with oil prices falling to their lowest levels in 18 years, before recovering somewhat. In the end, most, if not all countries, throughout the world today have been hit by a pandemic. This implies direct costs related to morbidity, health care, and uncertainty and indirect costs associated with control and mitigation actions, such as reduction of labor, production capacity, and productivity.</w:t>
      </w:r>
    </w:p>
    <w:p w:rsidR="00D85273" w:rsidRPr="00433CF6" w:rsidRDefault="00AF173B" w:rsidP="00AF173B">
      <w:pPr>
        <w:ind w:firstLine="709"/>
        <w:jc w:val="both"/>
        <w:rPr>
          <w:color w:val="222222"/>
          <w:sz w:val="24"/>
          <w:szCs w:val="24"/>
          <w:shd w:val="clear" w:color="auto" w:fill="FFFFFF"/>
          <w:lang w:val="id-ID"/>
        </w:rPr>
      </w:pPr>
      <w:r w:rsidRPr="00AF173B">
        <w:rPr>
          <w:color w:val="222222"/>
          <w:sz w:val="24"/>
          <w:szCs w:val="24"/>
          <w:lang w:val="id-ID"/>
        </w:rPr>
        <w:t xml:space="preserve">This COVID-19 pandemic if not managed properly can result in a series of other crises, including financial crises (if bankruptcy is rampant and banks become illiquid or bankrupt), sectoral collapse (for example, in airlines, tourism, and hospitality services), and crisis macroeconomic (if mitigation costs turn out to be excessive considering a country's fiscal space and income level), with dire consequences for welfare and poverty alleviation (World Bank, 2013; Furman, 2020; Odendahl &amp; Springford 2020; Galí 2020). Indeed, market size and policy uncertainty is higher now than at the height of the global </w:t>
      </w:r>
      <w:r w:rsidRPr="00AF173B">
        <w:rPr>
          <w:color w:val="222222"/>
          <w:sz w:val="24"/>
          <w:szCs w:val="24"/>
          <w:lang w:val="id-ID"/>
        </w:rPr>
        <w:lastRenderedPageBreak/>
        <w:t>financial crisis (Ahir, Bloom, &amp; Furceri 2020; Baker, Boom, &amp; Davis 2020). The COVID-19 outbreak that began in China shows that quarantine, social distance, and isolation of infected populations can contain the epidemic (Anderson et al., 2020) which then impacts on the economy</w:t>
      </w:r>
      <w:r w:rsidR="00433CF6">
        <w:rPr>
          <w:color w:val="222222"/>
          <w:sz w:val="24"/>
          <w:szCs w:val="24"/>
          <w:shd w:val="clear" w:color="auto" w:fill="FFFFFF"/>
          <w:lang w:val="id-ID"/>
        </w:rPr>
        <w:t>.</w:t>
      </w:r>
    </w:p>
    <w:p w:rsidR="00AF173B" w:rsidRPr="00AF173B" w:rsidRDefault="00AF173B" w:rsidP="00AF173B">
      <w:pPr>
        <w:shd w:val="clear" w:color="auto" w:fill="FFFFFF"/>
        <w:ind w:firstLine="720"/>
        <w:jc w:val="both"/>
        <w:rPr>
          <w:rFonts w:ascii="Roboto" w:hAnsi="Roboto"/>
          <w:color w:val="222222"/>
          <w:sz w:val="26"/>
          <w:szCs w:val="26"/>
        </w:rPr>
      </w:pPr>
      <w:r w:rsidRPr="00AF173B">
        <w:rPr>
          <w:rFonts w:ascii="Roboto" w:hAnsi="Roboto"/>
          <w:color w:val="222222"/>
          <w:sz w:val="26"/>
          <w:szCs w:val="26"/>
        </w:rPr>
        <w:t>The Indonesian government moved quickly to adopt a policy after the World Health Organization (WHO) announced that the 2019 Coronavirus Disease Outbreak (COVID-19) had become a pandemic. This outbreak has occurred in a wide geographical or spread globally. The number of cases worldwide reaches 120,000 and deaths have exceeded 4,300. The condition is urging governments all over the world to step up efforts to limit.</w:t>
      </w:r>
    </w:p>
    <w:p w:rsidR="00AF173B" w:rsidRPr="00AF173B" w:rsidRDefault="00AF173B" w:rsidP="00AF173B">
      <w:pPr>
        <w:shd w:val="clear" w:color="auto" w:fill="FFFFFF"/>
        <w:ind w:firstLine="720"/>
        <w:jc w:val="both"/>
        <w:rPr>
          <w:rFonts w:ascii="Roboto" w:hAnsi="Roboto"/>
          <w:color w:val="222222"/>
          <w:sz w:val="26"/>
          <w:szCs w:val="26"/>
        </w:rPr>
      </w:pPr>
      <w:r w:rsidRPr="00AF173B">
        <w:rPr>
          <w:rFonts w:ascii="Roboto" w:hAnsi="Roboto"/>
          <w:color w:val="222222"/>
          <w:sz w:val="26"/>
          <w:szCs w:val="26"/>
        </w:rPr>
        <w:t>The impact of COVID-19 on the economic sector is certainly inevitable. World economic growth is projected to contract deeper and so will the Indonesian economy. To that end, the government is concerned with issues that require special policies by issuing a second economic stimulus to deal with the effects of the Coronavirus (Hartarto, 2020).</w:t>
      </w:r>
    </w:p>
    <w:p w:rsidR="00AF173B" w:rsidRPr="00AF173B" w:rsidRDefault="00AF173B" w:rsidP="00AF173B">
      <w:pPr>
        <w:shd w:val="clear" w:color="auto" w:fill="FFFFFF"/>
        <w:ind w:firstLine="720"/>
        <w:jc w:val="both"/>
        <w:rPr>
          <w:rFonts w:ascii="Roboto" w:hAnsi="Roboto"/>
          <w:color w:val="222222"/>
          <w:sz w:val="26"/>
          <w:szCs w:val="26"/>
        </w:rPr>
      </w:pPr>
      <w:r w:rsidRPr="00AF173B">
        <w:rPr>
          <w:rFonts w:ascii="Roboto" w:hAnsi="Roboto"/>
          <w:color w:val="222222"/>
          <w:sz w:val="26"/>
          <w:szCs w:val="26"/>
        </w:rPr>
        <w:t>Some issues that are considered in making Indonesian government policy include the availability of food stocks and supplies that will affect food price stability; travel restrictions and worker mobility affecting the tourism and transportation sectors; disruption of production, distribution, and supply chains that affect the performance of the manufacturing sector and its derivatives; and falling world oil prices due to weakening demand and oil price wars between Saudi Arabia and Russia.</w:t>
      </w:r>
    </w:p>
    <w:p w:rsidR="00AF173B" w:rsidRPr="00AF173B" w:rsidRDefault="00AF173B" w:rsidP="00AF173B">
      <w:pPr>
        <w:shd w:val="clear" w:color="auto" w:fill="FFFFFF"/>
        <w:ind w:firstLine="720"/>
        <w:jc w:val="both"/>
        <w:rPr>
          <w:rFonts w:ascii="Roboto" w:hAnsi="Roboto"/>
          <w:color w:val="222222"/>
          <w:sz w:val="26"/>
          <w:szCs w:val="26"/>
        </w:rPr>
      </w:pPr>
      <w:r w:rsidRPr="00AF173B">
        <w:rPr>
          <w:rFonts w:ascii="Roboto" w:hAnsi="Roboto"/>
          <w:color w:val="222222"/>
          <w:sz w:val="26"/>
          <w:szCs w:val="26"/>
        </w:rPr>
        <w:t>As a result of the COVID-19 pandemic, each government made changes in the management of state finances by diverting some of its activities and budgets to prevent and reduce the spread of the virus and provide assistance to economically affected community groups. This as a major part of the country's financial function, namely the rationalization of the role of government in the economic life of society as part of general norms and distributive justice (Rossen &amp; Gayer, 2008: 2), performs the function of social welfare in accordance with the public authority (Salanie, 2000; Glazer &amp; Rothenberg, 2001), and the interests of maximizing social welfare (Musgrave &amp; Peacock, 1958).</w:t>
      </w:r>
    </w:p>
    <w:p w:rsidR="00AF173B" w:rsidRPr="00AF173B" w:rsidRDefault="00AF173B" w:rsidP="00AF173B">
      <w:pPr>
        <w:shd w:val="clear" w:color="auto" w:fill="FFFFFF"/>
        <w:ind w:firstLine="720"/>
        <w:jc w:val="both"/>
        <w:rPr>
          <w:rFonts w:ascii="Roboto" w:hAnsi="Roboto"/>
          <w:color w:val="222222"/>
          <w:sz w:val="26"/>
          <w:szCs w:val="26"/>
        </w:rPr>
      </w:pPr>
      <w:r w:rsidRPr="00AF173B">
        <w:rPr>
          <w:rFonts w:ascii="Roboto" w:hAnsi="Roboto"/>
          <w:color w:val="222222"/>
          <w:sz w:val="26"/>
          <w:szCs w:val="26"/>
        </w:rPr>
        <w:t xml:space="preserve">The aspect of social welfare is a major issue in meeting the interests of the public amid the Coronavirus pandemic now. The development of the social welfare approach became a major part in the study of public finance, for example, the theory of taxation carried out by economists (such as Edgeworth, 1897; Ramsey, 1927; Pigau, 1951; and Samuelson, 1954), the theory of public goods and the application of social welfare functions in the economy the public which strengthens and develops optimal taxation </w:t>
      </w:r>
      <w:r w:rsidRPr="00AF173B">
        <w:rPr>
          <w:rFonts w:ascii="Roboto" w:hAnsi="Roboto"/>
          <w:color w:val="222222"/>
          <w:sz w:val="26"/>
          <w:szCs w:val="26"/>
        </w:rPr>
        <w:lastRenderedPageBreak/>
        <w:t>problems (Winer &amp; Hettich, 2004: 1-2), and important issues in public financial management which include a fiscal policy to improve economic stability and fiscal sustainability (Claeys &amp; Nam, 2015).</w:t>
      </w:r>
    </w:p>
    <w:p w:rsidR="00AF173B" w:rsidRPr="00AF173B" w:rsidRDefault="00AF173B" w:rsidP="00AF173B">
      <w:pPr>
        <w:shd w:val="clear" w:color="auto" w:fill="FFFFFF"/>
        <w:ind w:firstLine="720"/>
        <w:jc w:val="both"/>
        <w:rPr>
          <w:rFonts w:ascii="Roboto" w:hAnsi="Roboto"/>
          <w:color w:val="222222"/>
          <w:sz w:val="26"/>
          <w:szCs w:val="26"/>
        </w:rPr>
      </w:pPr>
      <w:r w:rsidRPr="00AF173B">
        <w:rPr>
          <w:rFonts w:ascii="Roboto" w:hAnsi="Roboto"/>
          <w:color w:val="222222"/>
          <w:sz w:val="26"/>
          <w:szCs w:val="26"/>
        </w:rPr>
        <w:t>As for expenditure, the biggest challenge in 2020 is preventing and stopping the spread of COVID-19 throughout Indonesia through expenditure policies that are efficient, quality, and sustainable by increasing productivity, effectiveness and efficiency of spending, and controlling risk appropriately. On the other hand, the effectiveness of government spending has challenges such as the pattern and rate of absorption that is not optimal, the accuracy of disbursement of subsidies in various fields affected by COVID-19, and the fulfillment of the budget in accordance with laws and regulations.</w:t>
      </w:r>
    </w:p>
    <w:p w:rsidR="00381768" w:rsidRDefault="00AF173B" w:rsidP="00AF173B">
      <w:pPr>
        <w:shd w:val="clear" w:color="auto" w:fill="FFFFFF"/>
        <w:ind w:firstLine="720"/>
        <w:jc w:val="both"/>
        <w:rPr>
          <w:sz w:val="24"/>
          <w:szCs w:val="24"/>
          <w:lang w:val="id-ID"/>
        </w:rPr>
      </w:pPr>
      <w:r w:rsidRPr="00AF173B">
        <w:rPr>
          <w:rFonts w:ascii="Roboto" w:hAnsi="Roboto"/>
          <w:color w:val="222222"/>
          <w:sz w:val="26"/>
          <w:szCs w:val="26"/>
        </w:rPr>
        <w:t>The role of the government in managing public finances is very important in paying attention to the social welfare of people affected by COVID-19, poverty is still felt by the people and even raises new poverty due to termination of employment, misuse of the budget on direct cash assistance and distribution that is not on target, to economic growth low budget, and anticipate budget deviations. This article aims to describe the sustainability of public finance by the government in preventing and managing the spread of COVID-19 in Indonesia.</w:t>
      </w:r>
    </w:p>
    <w:p w:rsidR="00483F8A" w:rsidRPr="00460730" w:rsidRDefault="00483F8A" w:rsidP="00483F8A">
      <w:pPr>
        <w:shd w:val="clear" w:color="auto" w:fill="FFFFFF"/>
        <w:jc w:val="both"/>
        <w:rPr>
          <w:sz w:val="24"/>
          <w:szCs w:val="24"/>
          <w:lang w:val="id-ID"/>
        </w:rPr>
      </w:pPr>
    </w:p>
    <w:p w:rsidR="00F219D3" w:rsidRPr="00460730" w:rsidRDefault="00381768" w:rsidP="007B0687">
      <w:pPr>
        <w:shd w:val="clear" w:color="auto" w:fill="FFFFFF"/>
        <w:jc w:val="both"/>
        <w:rPr>
          <w:b/>
          <w:sz w:val="24"/>
          <w:szCs w:val="24"/>
          <w:lang w:val="id-ID"/>
        </w:rPr>
      </w:pPr>
      <w:r>
        <w:rPr>
          <w:b/>
          <w:sz w:val="24"/>
          <w:szCs w:val="24"/>
          <w:lang w:val="id-ID"/>
        </w:rPr>
        <w:t xml:space="preserve">B. </w:t>
      </w:r>
      <w:r w:rsidR="00500EEF" w:rsidRPr="00460730">
        <w:rPr>
          <w:b/>
          <w:sz w:val="24"/>
          <w:szCs w:val="24"/>
        </w:rPr>
        <w:t>Literature</w:t>
      </w:r>
      <w:r w:rsidR="007B0687" w:rsidRPr="00460730">
        <w:rPr>
          <w:b/>
          <w:sz w:val="24"/>
          <w:szCs w:val="24"/>
          <w:lang w:val="id-ID"/>
        </w:rPr>
        <w:t xml:space="preserve"> </w:t>
      </w:r>
      <w:r w:rsidR="007B0687" w:rsidRPr="00460730">
        <w:rPr>
          <w:b/>
          <w:sz w:val="24"/>
          <w:szCs w:val="24"/>
        </w:rPr>
        <w:t>Review</w:t>
      </w:r>
    </w:p>
    <w:p w:rsidR="00381768" w:rsidRPr="00381768" w:rsidRDefault="00381768" w:rsidP="00AF173B">
      <w:pPr>
        <w:shd w:val="clear" w:color="auto" w:fill="FFFFFF"/>
        <w:jc w:val="both"/>
        <w:rPr>
          <w:b/>
          <w:bCs/>
          <w:sz w:val="24"/>
          <w:szCs w:val="24"/>
          <w:lang w:val="id-ID"/>
        </w:rPr>
      </w:pPr>
      <w:r w:rsidRPr="00381768">
        <w:rPr>
          <w:b/>
          <w:bCs/>
          <w:sz w:val="24"/>
          <w:szCs w:val="24"/>
          <w:lang w:val="id-ID"/>
        </w:rPr>
        <w:t xml:space="preserve">1. </w:t>
      </w:r>
      <w:r w:rsidR="00AF173B">
        <w:rPr>
          <w:b/>
          <w:bCs/>
          <w:sz w:val="24"/>
          <w:szCs w:val="24"/>
          <w:lang w:val="id-ID"/>
        </w:rPr>
        <w:t>Pubic Finance</w:t>
      </w:r>
    </w:p>
    <w:p w:rsidR="006452C9" w:rsidRPr="006452C9" w:rsidRDefault="006452C9" w:rsidP="00E17897">
      <w:pPr>
        <w:shd w:val="clear" w:color="auto" w:fill="FFFFFF"/>
        <w:ind w:firstLine="720"/>
        <w:jc w:val="both"/>
        <w:rPr>
          <w:sz w:val="24"/>
          <w:szCs w:val="24"/>
          <w:lang w:val="id-ID"/>
        </w:rPr>
      </w:pPr>
      <w:r w:rsidRPr="006452C9">
        <w:rPr>
          <w:sz w:val="24"/>
          <w:szCs w:val="24"/>
          <w:lang w:val="id-ID"/>
        </w:rPr>
        <w:t>Many definitions are given by experts about public finance. Public finance is the study of government economic activities as a whole (Musgrave, 1959: 7), the study of the use of funds by the government to meet payments for government activities, or public finance is an economic branch that studies taxation activities and government spending (Rossen, 2002: 1).</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Therefore, the above definition makes the term public finance synonymous with the notion of state finance, the public economy, and the public sector economy. In Islamic economics, this term is known as Islamic public finance or Islamic social finance. An important issue in the study of public finance is not a financial problem although it is related to the financial aspect, the main problem related to real resources. Public finance studies use positive and normative analysis. The positive analysis emphasizes the problem of cause and effect, while normative analysis focuses on ethical issues in public finance.</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In Islamic social finance, this aspect of income has religious legitimacy and emphasizes the voluntary aspect of society by setting aside part of its income to help or help others, either directly given by individuals or distributed by governments or institutions that have authority to those who need in his life. In this article, the authors use the terms public finance and Islamic social finance with the same meaning in the form of income aspects that are managed by the government or official institutions for the welfare of the whole community.</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 xml:space="preserve">This public finance is related to the government's microeconomic function in the form of resource allocation and income distribution and the government's macroeconomic </w:t>
      </w:r>
      <w:r w:rsidRPr="006452C9">
        <w:rPr>
          <w:sz w:val="24"/>
          <w:szCs w:val="24"/>
          <w:lang w:val="id-ID"/>
        </w:rPr>
        <w:lastRenderedPageBreak/>
        <w:t>function related to the use of taxes, expenditure, and monetary policy in resolving unemployment and prices (Rossen, 2002: 1). This public finance focuses on government intervention in regulating the market (Rossen, 2002: 6) and public participation through political institutions and to achieve fiscal patterns and goals (Buchanan, 1967: 10-13).</w:t>
      </w:r>
    </w:p>
    <w:p w:rsidR="008F146A" w:rsidRPr="005F5DAF" w:rsidRDefault="006452C9" w:rsidP="006452C9">
      <w:pPr>
        <w:shd w:val="clear" w:color="auto" w:fill="FFFFFF"/>
        <w:ind w:firstLine="720"/>
        <w:jc w:val="both"/>
        <w:rPr>
          <w:sz w:val="24"/>
          <w:szCs w:val="24"/>
          <w:lang w:val="id-ID"/>
        </w:rPr>
      </w:pPr>
      <w:r w:rsidRPr="006452C9">
        <w:rPr>
          <w:sz w:val="24"/>
          <w:szCs w:val="24"/>
          <w:lang w:val="id-ID"/>
        </w:rPr>
        <w:t>In Indonesia, the term public finance is called state finance which studies expenditure and revenues by the government and the State, or a part of economics that studies government activities in the economy, especially regarding revenues and expenditures and their impact on the economy (Soetrisno, 1981: 7- 8). The term "public" broadly not only describes the activities of government, but also describes "utility" (which handles the needs or lives of many people), and also the activities of charitable associations. The term "public finance" in the strict sense is interpreted as "government finance" or "finance" which describes all the activities (of the government) in finding sources of funding and managing these funds to achieve government objectives</w:t>
      </w:r>
      <w:r w:rsidR="008F146A" w:rsidRPr="005F5DAF">
        <w:rPr>
          <w:sz w:val="24"/>
          <w:szCs w:val="24"/>
          <w:lang w:val="id-ID"/>
        </w:rPr>
        <w:t>.</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Thus, the scope of public finances includes government expenditure, government revenue, state administration, and the effect of budget revenues and expenditures on the economy, government loans and debts, administration or engineering, a fiscal balance between the central government and regional governments, and fiscal policies that study the role and the influence of state finances on national income, national income distribution, employment, prices and also the efficiency of resource allocation (Rossen &amp; Gayer, 2008: 2).</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In theory, public finance is divided into positive and normative. "Positive" public finance is the study of facts, circumstances, and relationships between variables with respect to the government's efforts to find funds and use of funds, such as how the current tax system and tax structure, studies of the current state and budget system, etc., So, in "positive public finance", we try to describe, explain, and predict what happens in state finance.</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"Normative" public finance is the study of state finance on ethics and value valuation, namely how state financial activities, taxation, expenditure, and the borrowing country can create efficient resource allocation, macroeconomic stabilization, equity or income distribution, etc. Thus, studies on "normative public finance" revolve more in the area of ​​state fiscal policy issues. This is influenced by an ideological view, which is divided into two main approaches: the organic view of government and the mechanistic view of government (Rossen &amp; Gayer, 2008: 2-5).</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In this case, government policies relating to income and expenditure to improve economic stability need to be done in the form of fiscal policy as actions taken by the government in the form of revenues and expenditures of the state budget to influence the course of the economy (Soediyono, 1992: 95).</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The function of government underwent changes in many activities such as direct supervision, social consumption of public goods, the stability of state finances and monetary policy, government production, and welfare spending (Samuelson, 2008). Therefore, mainstream economic theory provides a framework for public financial analysis. For example, rational theory can be used to assess public finance in the area of ​​application of microeconomics within a normative framework of public finance that includes economic welfare. In this case, Rossen &amp; Gayer (2008: 2) explained that focusing on economic welfare conditions where the allocation of economic resources reaches Pareto efficiency.</w:t>
      </w:r>
    </w:p>
    <w:p w:rsidR="006452C9" w:rsidRPr="006452C9" w:rsidRDefault="006452C9" w:rsidP="006452C9">
      <w:pPr>
        <w:shd w:val="clear" w:color="auto" w:fill="FFFFFF"/>
        <w:ind w:firstLine="720"/>
        <w:jc w:val="both"/>
        <w:rPr>
          <w:sz w:val="24"/>
          <w:szCs w:val="24"/>
          <w:lang w:val="id-ID"/>
        </w:rPr>
      </w:pPr>
      <w:r w:rsidRPr="006452C9">
        <w:rPr>
          <w:sz w:val="24"/>
          <w:szCs w:val="24"/>
          <w:lang w:val="id-ID"/>
        </w:rPr>
        <w:t xml:space="preserve">Rossen &amp; Gayer (2008: 2-5) state that Pareto Efficiency is defined as "allocation so that the only way to make one person better is to make others worse". Pareto efficiency seems to be a reasonable normative criterion, if Pareto inefficient resource allocation, it is "wasteful" in the sense that it is possible to make someone better without hurting others. </w:t>
      </w:r>
      <w:r w:rsidRPr="006452C9">
        <w:rPr>
          <w:sz w:val="24"/>
          <w:szCs w:val="24"/>
          <w:lang w:val="id-ID"/>
        </w:rPr>
        <w:lastRenderedPageBreak/>
        <w:t>The amazing result of the welfare economy is that if two assumptions are fulfilled, an economy will achieve Pareto's efficient allocation of resources without government intervention.</w:t>
      </w:r>
    </w:p>
    <w:p w:rsidR="006636B4" w:rsidRDefault="006452C9" w:rsidP="006452C9">
      <w:pPr>
        <w:shd w:val="clear" w:color="auto" w:fill="FFFFFF"/>
        <w:ind w:firstLine="720"/>
        <w:jc w:val="both"/>
        <w:rPr>
          <w:sz w:val="24"/>
          <w:szCs w:val="24"/>
          <w:lang w:val="id-ID"/>
        </w:rPr>
      </w:pPr>
      <w:r w:rsidRPr="006452C9">
        <w:rPr>
          <w:sz w:val="24"/>
          <w:szCs w:val="24"/>
          <w:lang w:val="id-ID"/>
        </w:rPr>
        <w:t>This Pareto efficiency can certainly be tested through government policies in preventing and stopping the spread of COVID-19 with a series of economic policies through the fulfillment of medical devices, direct assistance, tax subsidies, and others for those who are economically affected. It aims to maintain social welfare and at the same time restore economic conditions after the COVID-19 outbreak</w:t>
      </w:r>
      <w:r w:rsidR="006636B4">
        <w:rPr>
          <w:sz w:val="24"/>
          <w:szCs w:val="24"/>
          <w:lang w:val="id-ID"/>
        </w:rPr>
        <w:t>.</w:t>
      </w:r>
    </w:p>
    <w:p w:rsidR="00496193" w:rsidRDefault="00496193" w:rsidP="008F146A">
      <w:pPr>
        <w:ind w:firstLine="709"/>
        <w:jc w:val="both"/>
        <w:rPr>
          <w:sz w:val="24"/>
          <w:szCs w:val="24"/>
          <w:lang w:val="id-ID"/>
        </w:rPr>
      </w:pPr>
    </w:p>
    <w:p w:rsidR="00C203DF" w:rsidRDefault="00037E25" w:rsidP="006452C9">
      <w:pPr>
        <w:jc w:val="both"/>
        <w:rPr>
          <w:b/>
          <w:bCs/>
          <w:sz w:val="24"/>
          <w:szCs w:val="24"/>
          <w:lang w:val="id-ID"/>
        </w:rPr>
      </w:pPr>
      <w:r w:rsidRPr="00037E25">
        <w:rPr>
          <w:b/>
          <w:bCs/>
          <w:sz w:val="24"/>
          <w:szCs w:val="24"/>
          <w:lang w:val="id-ID"/>
        </w:rPr>
        <w:t>2. COVID-19</w:t>
      </w:r>
      <w:r w:rsidR="00C203DF">
        <w:rPr>
          <w:b/>
          <w:bCs/>
          <w:sz w:val="24"/>
          <w:szCs w:val="24"/>
          <w:lang w:val="id-ID"/>
        </w:rPr>
        <w:t xml:space="preserve">, </w:t>
      </w:r>
      <w:r w:rsidR="006452C9">
        <w:rPr>
          <w:b/>
          <w:bCs/>
          <w:sz w:val="24"/>
          <w:szCs w:val="24"/>
          <w:lang w:val="id-ID"/>
        </w:rPr>
        <w:t>Public Finance</w:t>
      </w:r>
      <w:r w:rsidR="00A511D9">
        <w:rPr>
          <w:b/>
          <w:bCs/>
          <w:sz w:val="24"/>
          <w:szCs w:val="24"/>
          <w:lang w:val="id-ID"/>
        </w:rPr>
        <w:t xml:space="preserve">, </w:t>
      </w:r>
      <w:r w:rsidR="006452C9">
        <w:rPr>
          <w:b/>
          <w:bCs/>
          <w:sz w:val="24"/>
          <w:szCs w:val="24"/>
          <w:lang w:val="id-ID"/>
        </w:rPr>
        <w:t>and</w:t>
      </w:r>
      <w:r w:rsidR="00A511D9">
        <w:rPr>
          <w:b/>
          <w:bCs/>
          <w:sz w:val="24"/>
          <w:szCs w:val="24"/>
          <w:lang w:val="id-ID"/>
        </w:rPr>
        <w:t xml:space="preserve"> </w:t>
      </w:r>
      <w:r w:rsidR="00FD0438">
        <w:rPr>
          <w:b/>
          <w:bCs/>
          <w:sz w:val="24"/>
          <w:szCs w:val="24"/>
          <w:lang w:val="id-ID"/>
        </w:rPr>
        <w:t>E</w:t>
      </w:r>
      <w:r w:rsidR="006452C9">
        <w:rPr>
          <w:b/>
          <w:bCs/>
          <w:sz w:val="24"/>
          <w:szCs w:val="24"/>
          <w:lang w:val="id-ID"/>
        </w:rPr>
        <w:t>conomics</w:t>
      </w:r>
    </w:p>
    <w:p w:rsidR="006452C9" w:rsidRPr="006452C9" w:rsidRDefault="006452C9" w:rsidP="006452C9">
      <w:pPr>
        <w:ind w:firstLine="709"/>
        <w:jc w:val="both"/>
        <w:rPr>
          <w:color w:val="222222"/>
          <w:sz w:val="24"/>
          <w:szCs w:val="24"/>
          <w:shd w:val="clear" w:color="auto" w:fill="FFFFFF"/>
          <w:lang w:val="id-ID"/>
        </w:rPr>
      </w:pPr>
      <w:r w:rsidRPr="006452C9">
        <w:rPr>
          <w:color w:val="222222"/>
          <w:sz w:val="24"/>
          <w:szCs w:val="24"/>
          <w:shd w:val="clear" w:color="auto" w:fill="FFFFFF"/>
          <w:lang w:val="id-ID"/>
        </w:rPr>
        <w:t>A report released by the IMF (2020) states that the COVID-19 pandemic not only represents a public health emergency throughout the world but has also become an international economic emergency which, in its negative effect, can surpass the 2008-2009 global financial crisis. The large impact of COVID-19 could lead to a global recession in 2020. Anderson et al. (2020) describe that COVID-19 has developed into a pandemic, with small transmission chains in many countries and large chains resulting in the widespread distribution in several countries, such as Italy, Iran, South Korea, and Japan. The government will not be able to minimize deaths from COVID-19 disease and the economic impact of spreading the virus, so the priority of each individual is to keep the death rate as low as possible. The government must also have to take steps to improve the inevitable economic downturn.</w:t>
      </w:r>
    </w:p>
    <w:p w:rsidR="006452C9" w:rsidRPr="006452C9" w:rsidRDefault="006452C9" w:rsidP="006452C9">
      <w:pPr>
        <w:ind w:firstLine="709"/>
        <w:jc w:val="both"/>
        <w:rPr>
          <w:color w:val="222222"/>
          <w:sz w:val="24"/>
          <w:szCs w:val="24"/>
          <w:shd w:val="clear" w:color="auto" w:fill="FFFFFF"/>
          <w:lang w:val="id-ID"/>
        </w:rPr>
      </w:pPr>
      <w:r w:rsidRPr="006452C9">
        <w:rPr>
          <w:color w:val="222222"/>
          <w:sz w:val="24"/>
          <w:szCs w:val="24"/>
          <w:shd w:val="clear" w:color="auto" w:fill="FFFFFF"/>
          <w:lang w:val="id-ID"/>
        </w:rPr>
        <w:t>Another study produced by WHO (2020), Wilson et al. (2020), and Wilder-Smith, Chiew, and Lee (2020) assert that COVID-19 combines two fatal characteristics: three to thirty times more deadly than seasonal influenza, based on the fatality rate of abusive cases, and at least ten times more infectious than SARS. So, the potential to wreak havoc on the health of people throughout the world is enormous, both in developed and developing countries. Atkeson (2020) conducted a special study that introduced a simple SIR model to economists about the development of COVID-19 in the United States over the next 12-18 months. The SIR model is a Markov model of the spread of epidemics in a population where the total population is divided into categories susceptible to disease (S), actively infected with the disease (I), and recovering (or dying) and no longer contagious (R). This research can predict the level of outbreaks, the state of the disease through social distance, and its development on the population, as well as the state of the health system, staff shortages that have an effect on the main finances, economic infrastructure, and cumulative burden of the disease for more than 18 months.</w:t>
      </w:r>
    </w:p>
    <w:p w:rsidR="00C203DF" w:rsidRDefault="006452C9" w:rsidP="006452C9">
      <w:pPr>
        <w:ind w:firstLine="709"/>
        <w:jc w:val="both"/>
        <w:rPr>
          <w:color w:val="222222"/>
          <w:sz w:val="24"/>
          <w:szCs w:val="24"/>
          <w:shd w:val="clear" w:color="auto" w:fill="FFFFFF"/>
          <w:lang w:val="id-ID"/>
        </w:rPr>
      </w:pPr>
      <w:r w:rsidRPr="006452C9">
        <w:rPr>
          <w:color w:val="222222"/>
          <w:sz w:val="24"/>
          <w:szCs w:val="24"/>
          <w:shd w:val="clear" w:color="auto" w:fill="FFFFFF"/>
          <w:lang w:val="id-ID"/>
        </w:rPr>
        <w:t>The world pandemic caused by COVID-19 is quite different from the pandemic that has happened before. Research conducted by Bénassy-Quéré et al (2020), Gopinath (2020), and Furman (2020) found that COVID-19 caused a very large and highly contagious global shock which simultaneously occurred negative supply shocks and negative demand shocks. This shock results in reducing the ability of people to work and companies to produce, and it decreases incentives and possibilities for people to consume, and for companies to invest. The World Bank (2013) noted earlier that "global recession, in general, might disproportionately harm low and middle-income countries, because they tend to lack resources and capacity to deal with these shocks."</w:t>
      </w:r>
      <w:r w:rsidR="006D58AE" w:rsidRPr="00DE4D6A">
        <w:rPr>
          <w:color w:val="222222"/>
          <w:sz w:val="24"/>
          <w:szCs w:val="24"/>
          <w:shd w:val="clear" w:color="auto" w:fill="FFFFFF"/>
        </w:rPr>
        <w:t xml:space="preserve"> </w:t>
      </w:r>
    </w:p>
    <w:p w:rsidR="006452C9" w:rsidRPr="006452C9" w:rsidRDefault="006452C9" w:rsidP="006452C9">
      <w:pPr>
        <w:ind w:firstLine="709"/>
        <w:jc w:val="both"/>
        <w:rPr>
          <w:color w:val="222222"/>
          <w:sz w:val="24"/>
          <w:szCs w:val="24"/>
          <w:shd w:val="clear" w:color="auto" w:fill="FFFFFF"/>
          <w:lang w:val="id-ID"/>
        </w:rPr>
      </w:pPr>
      <w:r w:rsidRPr="006452C9">
        <w:rPr>
          <w:color w:val="222222"/>
          <w:sz w:val="24"/>
          <w:szCs w:val="24"/>
          <w:shd w:val="clear" w:color="auto" w:fill="FFFFFF"/>
          <w:lang w:val="id-ID"/>
        </w:rPr>
        <w:t xml:space="preserve">COVID-19 has enormous economic and social impacts including markets and financial institutions, which can be traced from the impact of other past events that are parallel with COVID-19, so those future investigations can be carried out (Goodell, 2020). The COVID-19 pandemic also requires mitigation measures by policymakers, such as minimizing morbidity and related mortality, avoiding the peak of the epidemic that floods health care services, maintaining impacts on the economy at a manageable </w:t>
      </w:r>
      <w:r w:rsidRPr="006452C9">
        <w:rPr>
          <w:color w:val="222222"/>
          <w:sz w:val="24"/>
          <w:szCs w:val="24"/>
          <w:shd w:val="clear" w:color="auto" w:fill="FFFFFF"/>
          <w:lang w:val="id-ID"/>
        </w:rPr>
        <w:lastRenderedPageBreak/>
        <w:t>level, and leveling the epidemic curve to await vaccine development and manufacturing in antiviral drug scale and therapy. Such mitigation goals are difficult to achieve with the same interventions, so choices must be made about priorities (Hollingsworth et al., 2011). Therefore, prevention and countermeasures are needed to limit the spread of the virus and save lives by increasing costs due to "shutdown" which means reducing economic activity (Loayza &amp; Pennings, 2020).</w:t>
      </w:r>
    </w:p>
    <w:p w:rsidR="003A1694" w:rsidRDefault="006452C9" w:rsidP="006452C9">
      <w:pPr>
        <w:ind w:firstLine="709"/>
        <w:jc w:val="both"/>
        <w:rPr>
          <w:color w:val="222222"/>
          <w:sz w:val="24"/>
          <w:szCs w:val="24"/>
          <w:shd w:val="clear" w:color="auto" w:fill="FFFFFF"/>
          <w:lang w:val="id-ID"/>
        </w:rPr>
      </w:pPr>
      <w:r w:rsidRPr="006452C9">
        <w:rPr>
          <w:color w:val="222222"/>
          <w:sz w:val="24"/>
          <w:szCs w:val="24"/>
          <w:shd w:val="clear" w:color="auto" w:fill="FFFFFF"/>
          <w:lang w:val="id-ID"/>
        </w:rPr>
        <w:t>The macroeconomic impact of the COVID-19 pandemic with this extreme speed requires indicators that must be made by policymakers through measures with real-time forward-looking uncertainty, such as stock market volatility, economic uncertainty, and subjective uncertainty in business expectations survey (Baker et al., 2020). A "lockdown" policy also needs to be considered in order to control deaths due to COVID-19 by minimizing economic output costs (Alvarez, Argente, &amp; Lippi, 2020). The emergence of crises and economic recessions must be watched out, because social restrictions, self-isolation, and travel restrictions have caused a reduction in labor in all sectors of the economy and cause many jobs to be lost (Nicola et al., 2020).</w:t>
      </w:r>
      <w:r w:rsidR="003A1694" w:rsidRPr="003A1694">
        <w:rPr>
          <w:color w:val="222222"/>
          <w:sz w:val="24"/>
          <w:szCs w:val="24"/>
          <w:shd w:val="clear" w:color="auto" w:fill="FFFFFF"/>
          <w:lang w:val="id-ID"/>
        </w:rPr>
        <w:t xml:space="preserve"> </w:t>
      </w:r>
    </w:p>
    <w:p w:rsidR="00563D56" w:rsidRDefault="00563D56" w:rsidP="00433CF6">
      <w:pPr>
        <w:jc w:val="both"/>
        <w:rPr>
          <w:color w:val="222222"/>
          <w:sz w:val="24"/>
          <w:szCs w:val="24"/>
          <w:shd w:val="clear" w:color="auto" w:fill="FFFFFF"/>
          <w:lang w:val="id-ID"/>
        </w:rPr>
      </w:pPr>
    </w:p>
    <w:p w:rsidR="00F219D3" w:rsidRPr="00460730" w:rsidRDefault="00A64100" w:rsidP="00A64100">
      <w:pPr>
        <w:jc w:val="both"/>
        <w:rPr>
          <w:b/>
          <w:sz w:val="24"/>
          <w:szCs w:val="24"/>
        </w:rPr>
      </w:pPr>
      <w:r>
        <w:rPr>
          <w:b/>
          <w:sz w:val="24"/>
          <w:szCs w:val="24"/>
          <w:lang w:val="id-ID"/>
        </w:rPr>
        <w:t xml:space="preserve">C. </w:t>
      </w:r>
      <w:r w:rsidR="00F219D3" w:rsidRPr="00460730">
        <w:rPr>
          <w:b/>
          <w:sz w:val="24"/>
          <w:szCs w:val="24"/>
        </w:rPr>
        <w:t>Method</w:t>
      </w:r>
      <w:r>
        <w:rPr>
          <w:b/>
          <w:sz w:val="24"/>
          <w:szCs w:val="24"/>
          <w:lang w:val="id-ID"/>
        </w:rPr>
        <w:t>s</w:t>
      </w:r>
    </w:p>
    <w:p w:rsidR="00911E2F" w:rsidRPr="00911E2F" w:rsidRDefault="00E17897" w:rsidP="000B59FE">
      <w:pPr>
        <w:ind w:firstLine="709"/>
        <w:jc w:val="both"/>
        <w:rPr>
          <w:sz w:val="24"/>
          <w:szCs w:val="24"/>
          <w:lang w:val="id-ID"/>
        </w:rPr>
      </w:pPr>
      <w:r w:rsidRPr="00E17897">
        <w:rPr>
          <w:sz w:val="24"/>
          <w:szCs w:val="24"/>
        </w:rPr>
        <w:t>This study of the sustainability of public finances during COVID-19 in Indonesia uses a qualitative method using secondary data that aims to describe government policies in managing public finances that relocate budgets for handling COVID-19. The author takes the following steps: first, finding the problem of the impact of the spread of COVID-19 on an economy that is different from the previous economic crisis; secondly, collecting secondary data on the development of Indonesia's COVID-19, the economic impact caused, and the reallocation of government budgets obtained from scientific publications and information from ministries and institutions; third, compile answers by classifying and sorting data relevant to government financial management for handling COVID-19; fourth, analyzing the data by interpreting the main sections discussing the maqasid shariah, the sustainability of public finances, and budget reallocation for economic stimulus; and fifth, make conclusions for this paper</w:t>
      </w:r>
      <w:r w:rsidR="0067322C">
        <w:rPr>
          <w:sz w:val="24"/>
          <w:szCs w:val="24"/>
          <w:lang w:val="id-ID"/>
        </w:rPr>
        <w:t>.</w:t>
      </w:r>
    </w:p>
    <w:p w:rsidR="00B116A5" w:rsidRPr="00460730" w:rsidRDefault="00B116A5" w:rsidP="00B116A5">
      <w:pPr>
        <w:jc w:val="both"/>
        <w:rPr>
          <w:sz w:val="24"/>
          <w:szCs w:val="24"/>
        </w:rPr>
      </w:pPr>
    </w:p>
    <w:p w:rsidR="008F146A" w:rsidRPr="008F146A" w:rsidRDefault="00A64100" w:rsidP="00EA0715">
      <w:pPr>
        <w:jc w:val="both"/>
        <w:rPr>
          <w:b/>
          <w:sz w:val="24"/>
          <w:szCs w:val="24"/>
        </w:rPr>
      </w:pPr>
      <w:r>
        <w:rPr>
          <w:b/>
          <w:sz w:val="24"/>
          <w:szCs w:val="24"/>
          <w:lang w:val="id-ID"/>
        </w:rPr>
        <w:t xml:space="preserve">D. </w:t>
      </w:r>
      <w:r w:rsidR="00EA0715">
        <w:rPr>
          <w:b/>
          <w:sz w:val="24"/>
          <w:szCs w:val="24"/>
          <w:lang w:val="id-ID"/>
        </w:rPr>
        <w:t xml:space="preserve">Public Finance Management for </w:t>
      </w:r>
      <w:r w:rsidR="0083158A">
        <w:rPr>
          <w:b/>
          <w:sz w:val="24"/>
          <w:szCs w:val="24"/>
          <w:lang w:val="id-ID"/>
        </w:rPr>
        <w:t>COVID-19</w:t>
      </w:r>
      <w:r w:rsidR="00EA0715">
        <w:rPr>
          <w:b/>
          <w:sz w:val="24"/>
          <w:szCs w:val="24"/>
          <w:lang w:val="id-ID"/>
        </w:rPr>
        <w:t xml:space="preserve"> in Maqasid Shariah Perspective</w:t>
      </w:r>
    </w:p>
    <w:p w:rsidR="0061313A" w:rsidRPr="0061313A" w:rsidRDefault="0061313A" w:rsidP="0061313A">
      <w:pPr>
        <w:pStyle w:val="Default"/>
        <w:ind w:firstLine="720"/>
        <w:jc w:val="both"/>
        <w:rPr>
          <w:color w:val="auto"/>
        </w:rPr>
      </w:pPr>
      <w:r w:rsidRPr="0061313A">
        <w:rPr>
          <w:color w:val="auto"/>
        </w:rPr>
        <w:t>Indonesia has made great progress in establishing regulatory frameworks regarding public financial management by increasing transparency, for example, Law of the Republic of Indonesia Number 17 of 2003 concerning state finances. The Ministry of Finance of the Republic of Indonesia has also reorganized to improve its functions by compiling all laws and regulations in accordance with international financial classification standards, the establishment of a Treasury Single Account (TSA), and the incorporation of previously separate postal and routine development budgets. Nevertheless, several key indicators on government budget performance have not improved, especially indicators of budget realization. Realization of central government spending sometimes deviates from the original plan, subsidies and budget transfers to local governments are less effective in use which tends to result in excessive spending. There are three main reasons that can explain the difficulties in implementing budget efficiency: weak budget preparation, rigid budget implementation, and implementation obstacles.</w:t>
      </w:r>
    </w:p>
    <w:p w:rsidR="0061313A" w:rsidRPr="0061313A" w:rsidRDefault="0061313A" w:rsidP="0061313A">
      <w:pPr>
        <w:pStyle w:val="Default"/>
        <w:ind w:firstLine="720"/>
        <w:jc w:val="both"/>
        <w:rPr>
          <w:color w:val="auto"/>
        </w:rPr>
      </w:pPr>
      <w:r w:rsidRPr="0061313A">
        <w:rPr>
          <w:color w:val="auto"/>
        </w:rPr>
        <w:t xml:space="preserve">The separation of the regular budget and the development budget was originally intended to emphasize the importance of development, but in practice has shown many weaknesses. First, the duplication between routine and development expenses due to the lack of traction in the separation between the organization's operational activities and projects, especially non-physical projects. Thus, performance is difficult to measure </w:t>
      </w:r>
      <w:r w:rsidRPr="0061313A">
        <w:rPr>
          <w:color w:val="auto"/>
        </w:rPr>
        <w:lastRenderedPageBreak/>
        <w:t>because the allocation of existing funds does not reflect actual conditions. Second, the use of "double budgeting" encourages dualism in the preparation of estimates of the output budget line (MAK, Line of Output Budget) because of the type of expenditure, MAK is made for routine MAK expenditure and there are other sets for development expenditure. Third, analysis of program expenses and costs is difficult because routine budgets are not limited to operating expenses, and development budget expenditures are not limited to investment expenditure. Fourth, projects that receive development budgets are treated the same as work units, namely as accounting entities, even though the project is only temporary (Ministry of Law</w:t>
      </w:r>
      <w:r>
        <w:rPr>
          <w:color w:val="auto"/>
          <w:lang w:val="id-ID"/>
        </w:rPr>
        <w:t xml:space="preserve"> RI</w:t>
      </w:r>
      <w:r w:rsidRPr="0061313A">
        <w:rPr>
          <w:color w:val="auto"/>
        </w:rPr>
        <w:t>, 2003).</w:t>
      </w:r>
    </w:p>
    <w:p w:rsidR="008F146A" w:rsidRPr="008F146A" w:rsidRDefault="0061313A" w:rsidP="0061313A">
      <w:pPr>
        <w:pStyle w:val="Default"/>
        <w:ind w:firstLine="720"/>
        <w:jc w:val="both"/>
        <w:rPr>
          <w:color w:val="auto"/>
        </w:rPr>
      </w:pPr>
      <w:r w:rsidRPr="0061313A">
        <w:rPr>
          <w:color w:val="auto"/>
        </w:rPr>
        <w:t>The state budgeting system implicitly uses an integrated budget system, in which there is no separation between routine expenditure and development expenditure, so the economy will differ according to the previous classification. In this case, government expenditures based on economic classification are grouped into: compensation for employees, use of goods and services, fixed capital compensation related to production costs have been carried out by government organizational units, debt interest, subsidies, grants, social benefits, and other costs for transferring in the form of money or goods, and purchase goods and services from third parties to be sent to other units.</w:t>
      </w:r>
    </w:p>
    <w:p w:rsidR="0061313A" w:rsidRPr="0061313A" w:rsidRDefault="0061313A" w:rsidP="0061313A">
      <w:pPr>
        <w:ind w:firstLine="720"/>
        <w:jc w:val="both"/>
        <w:rPr>
          <w:sz w:val="24"/>
          <w:szCs w:val="24"/>
          <w:lang w:val="en"/>
        </w:rPr>
      </w:pPr>
      <w:r w:rsidRPr="0061313A">
        <w:rPr>
          <w:sz w:val="24"/>
          <w:szCs w:val="24"/>
          <w:lang w:val="en"/>
        </w:rPr>
        <w:t>Budget management is very important to achieve economic development goals in the form of social welfare (Rossen &amp; Gayer, 2008; Jaelani, 2018b). However, the management of public finances or state finances around the world is now diverted to resolve the global pandemic due to COVID-19 which could cause economic crises and recessions in each country. This public finance cannot be separated from the reality of the role of government to create prosperity for its people (Faridi, 1983).</w:t>
      </w:r>
    </w:p>
    <w:p w:rsidR="0061313A" w:rsidRPr="0061313A" w:rsidRDefault="0061313A" w:rsidP="0061313A">
      <w:pPr>
        <w:ind w:firstLine="720"/>
        <w:jc w:val="both"/>
        <w:rPr>
          <w:sz w:val="24"/>
          <w:szCs w:val="24"/>
          <w:lang w:val="en"/>
        </w:rPr>
      </w:pPr>
      <w:r w:rsidRPr="0061313A">
        <w:rPr>
          <w:sz w:val="24"/>
          <w:szCs w:val="24"/>
          <w:lang w:val="en"/>
        </w:rPr>
        <w:t>Developments in the global and domestic economy also encourage the government to adjust economic growth targets. The development of the rupiah against the US dollar is also expected to contribute to the weakening. In addition, developments in world crude oil prices also drive changes in the price of Indonesian crude oil (ICP) on the international market. Especially now that the whole world is experiencing a COVID-19 pandemic which causes the Indonesian government to re-budget to prevent the spread of disease and economic activity to continue even though it is not normal.</w:t>
      </w:r>
    </w:p>
    <w:p w:rsidR="0061313A" w:rsidRPr="0061313A" w:rsidRDefault="0061313A" w:rsidP="0061313A">
      <w:pPr>
        <w:ind w:firstLine="720"/>
        <w:jc w:val="both"/>
        <w:rPr>
          <w:sz w:val="24"/>
          <w:szCs w:val="24"/>
          <w:lang w:val="en"/>
        </w:rPr>
      </w:pPr>
      <w:r w:rsidRPr="0061313A">
        <w:rPr>
          <w:sz w:val="24"/>
          <w:szCs w:val="24"/>
          <w:lang w:val="en"/>
        </w:rPr>
        <w:t>Within the framework of regulating the accountability of state finances, there are several criteria developed for revenue sources: 1) criteria for obtaining funds and being well received to meet government needs; 2) criteria for fair and equitable distribution; 3) criteria for administrative ability, each type of acceptance is different in administration tools; and 4) the tax effect of economic criteria to record the effects on resource allocation and to encourage economic activity (Arsjad, et al., 1992: 45-52).</w:t>
      </w:r>
    </w:p>
    <w:p w:rsidR="0061313A" w:rsidRPr="0061313A" w:rsidRDefault="0061313A" w:rsidP="0061313A">
      <w:pPr>
        <w:ind w:firstLine="720"/>
        <w:jc w:val="both"/>
        <w:rPr>
          <w:sz w:val="24"/>
          <w:szCs w:val="24"/>
          <w:lang w:val="en"/>
        </w:rPr>
      </w:pPr>
      <w:r w:rsidRPr="0061313A">
        <w:rPr>
          <w:sz w:val="24"/>
          <w:szCs w:val="24"/>
          <w:lang w:val="en"/>
        </w:rPr>
        <w:t>In Islamic economics, government revenue that goes to the state treasury will be kept in separate posts (systemic administration) and spent based on their individual needs. The distribution of the budget from the center to the regions is flexible by taking into account the situation of each and the level of priority needs. If income for financing has an advantage in a province, then the excess or central finance will be diverted to meet the budget for the province that has this deficiency (al-Mawardi, 1996: 215).</w:t>
      </w:r>
    </w:p>
    <w:p w:rsidR="000D7533" w:rsidRDefault="0061313A" w:rsidP="0061313A">
      <w:pPr>
        <w:ind w:firstLine="720"/>
        <w:jc w:val="both"/>
        <w:rPr>
          <w:sz w:val="24"/>
          <w:szCs w:val="24"/>
          <w:lang w:val="id-ID"/>
        </w:rPr>
      </w:pPr>
      <w:r w:rsidRPr="0061313A">
        <w:rPr>
          <w:sz w:val="24"/>
          <w:szCs w:val="24"/>
          <w:lang w:val="en"/>
        </w:rPr>
        <w:t>The sustainability of public finances can be seen from the wealth distribution system that is the responsibility of government financial institutions in managing government revenues and expenditures. Budget allocation for various types of government needs will have implications for existing financial conditions, thus requiring institutions that have the authority to distribute them in accordance with their respective goals (Jaelani, 2017). The most important part is the responsibility of financial institutions for state revenue should be distributed in the public interest or the welfare of the people (al-Mawardi, 1996: 213-214; Jaelani, 2018a)</w:t>
      </w:r>
      <w:r w:rsidR="000D7533">
        <w:rPr>
          <w:sz w:val="24"/>
          <w:szCs w:val="24"/>
          <w:lang w:val="id-ID"/>
        </w:rPr>
        <w:t>.</w:t>
      </w:r>
    </w:p>
    <w:p w:rsidR="0061313A" w:rsidRPr="0061313A" w:rsidRDefault="0061313A" w:rsidP="0061313A">
      <w:pPr>
        <w:ind w:firstLine="720"/>
        <w:jc w:val="both"/>
        <w:rPr>
          <w:sz w:val="24"/>
          <w:szCs w:val="24"/>
          <w:lang w:val="id-ID"/>
        </w:rPr>
      </w:pPr>
      <w:r w:rsidRPr="0061313A">
        <w:rPr>
          <w:sz w:val="24"/>
          <w:szCs w:val="24"/>
          <w:lang w:val="id-ID"/>
        </w:rPr>
        <w:lastRenderedPageBreak/>
        <w:t>In the management of public finances during the COVID-19 pandemic that has been declared by the government as a disaster emergency, the distribution of the budget is carried out based on a priority scale with established criteria to meet the needs of the people affected by the plague. Meeting these needs is mandatory for the government to fulfill them (Jaelani, 2016), especially for people who are actually experiencing difficulties and difficulties in meeting their daily basic needs. The sustainability of state finances will depend on the financial policies adopted during the current pandemic.</w:t>
      </w:r>
    </w:p>
    <w:p w:rsidR="00672B36" w:rsidRDefault="0061313A" w:rsidP="00A870E6">
      <w:pPr>
        <w:ind w:firstLine="720"/>
        <w:jc w:val="both"/>
        <w:rPr>
          <w:bCs/>
          <w:sz w:val="24"/>
          <w:szCs w:val="24"/>
          <w:lang w:val="id-ID"/>
        </w:rPr>
      </w:pPr>
      <w:r w:rsidRPr="0061313A">
        <w:rPr>
          <w:sz w:val="24"/>
          <w:szCs w:val="24"/>
          <w:lang w:val="id-ID"/>
        </w:rPr>
        <w:t>There are other criteria for public expenditure from state finances by observing sharia</w:t>
      </w:r>
      <w:r>
        <w:rPr>
          <w:sz w:val="24"/>
          <w:szCs w:val="24"/>
          <w:lang w:val="id-ID"/>
        </w:rPr>
        <w:t>h</w:t>
      </w:r>
      <w:r w:rsidRPr="0061313A">
        <w:rPr>
          <w:sz w:val="24"/>
          <w:szCs w:val="24"/>
          <w:lang w:val="id-ID"/>
        </w:rPr>
        <w:t xml:space="preserve"> objectives (</w:t>
      </w:r>
      <w:r w:rsidRPr="00A870E6">
        <w:rPr>
          <w:i/>
          <w:iCs/>
          <w:sz w:val="24"/>
          <w:szCs w:val="24"/>
          <w:lang w:val="id-ID"/>
        </w:rPr>
        <w:t>maqasid shariah</w:t>
      </w:r>
      <w:r w:rsidRPr="0061313A">
        <w:rPr>
          <w:sz w:val="24"/>
          <w:szCs w:val="24"/>
          <w:lang w:val="id-ID"/>
        </w:rPr>
        <w:t xml:space="preserve">) as principles that must be implemented to meet the welfare of the community with three main criteria: </w:t>
      </w:r>
      <w:r>
        <w:rPr>
          <w:sz w:val="24"/>
          <w:szCs w:val="24"/>
          <w:lang w:val="id-ID"/>
        </w:rPr>
        <w:t>necessities</w:t>
      </w:r>
      <w:r w:rsidRPr="0061313A">
        <w:rPr>
          <w:sz w:val="24"/>
          <w:szCs w:val="24"/>
          <w:lang w:val="id-ID"/>
        </w:rPr>
        <w:t xml:space="preserve"> (</w:t>
      </w:r>
      <w:r w:rsidRPr="0061313A">
        <w:rPr>
          <w:i/>
          <w:iCs/>
          <w:sz w:val="24"/>
          <w:szCs w:val="24"/>
          <w:lang w:val="id-ID"/>
        </w:rPr>
        <w:t>daruriyat</w:t>
      </w:r>
      <w:r w:rsidRPr="0061313A">
        <w:rPr>
          <w:sz w:val="24"/>
          <w:szCs w:val="24"/>
          <w:lang w:val="id-ID"/>
        </w:rPr>
        <w:t xml:space="preserve">), </w:t>
      </w:r>
      <w:r>
        <w:rPr>
          <w:sz w:val="24"/>
          <w:szCs w:val="24"/>
          <w:lang w:val="id-ID"/>
        </w:rPr>
        <w:t>needs</w:t>
      </w:r>
      <w:r w:rsidRPr="0061313A">
        <w:rPr>
          <w:sz w:val="24"/>
          <w:szCs w:val="24"/>
          <w:lang w:val="id-ID"/>
        </w:rPr>
        <w:t xml:space="preserve"> (</w:t>
      </w:r>
      <w:r w:rsidRPr="0061313A">
        <w:rPr>
          <w:i/>
          <w:iCs/>
          <w:sz w:val="24"/>
          <w:szCs w:val="24"/>
          <w:lang w:val="id-ID"/>
        </w:rPr>
        <w:t>hajiyat</w:t>
      </w:r>
      <w:r w:rsidRPr="0061313A">
        <w:rPr>
          <w:sz w:val="24"/>
          <w:szCs w:val="24"/>
          <w:lang w:val="id-ID"/>
        </w:rPr>
        <w:t xml:space="preserve">), and </w:t>
      </w:r>
      <w:r>
        <w:rPr>
          <w:sz w:val="24"/>
          <w:szCs w:val="24"/>
          <w:lang w:val="id-ID"/>
        </w:rPr>
        <w:t>refinement</w:t>
      </w:r>
      <w:r w:rsidRPr="0061313A">
        <w:rPr>
          <w:sz w:val="24"/>
          <w:szCs w:val="24"/>
          <w:lang w:val="id-ID"/>
        </w:rPr>
        <w:t xml:space="preserve"> (</w:t>
      </w:r>
      <w:r w:rsidRPr="0061313A">
        <w:rPr>
          <w:i/>
          <w:iCs/>
          <w:sz w:val="24"/>
          <w:szCs w:val="24"/>
          <w:lang w:val="id-ID"/>
        </w:rPr>
        <w:t>tahsiniyat</w:t>
      </w:r>
      <w:r w:rsidRPr="0061313A">
        <w:rPr>
          <w:sz w:val="24"/>
          <w:szCs w:val="24"/>
          <w:lang w:val="id-ID"/>
        </w:rPr>
        <w:t>) (see figure 1) (Rauf, 2015). The principles that must be protected by the government in managing state finances by distributing its budget include five things: protection of religion (</w:t>
      </w:r>
      <w:r w:rsidRPr="0061313A">
        <w:rPr>
          <w:i/>
          <w:iCs/>
          <w:sz w:val="24"/>
          <w:szCs w:val="24"/>
          <w:lang w:val="id-ID"/>
        </w:rPr>
        <w:t>din</w:t>
      </w:r>
      <w:r w:rsidRPr="0061313A">
        <w:rPr>
          <w:sz w:val="24"/>
          <w:szCs w:val="24"/>
          <w:lang w:val="id-ID"/>
        </w:rPr>
        <w:t>), protection of life (</w:t>
      </w:r>
      <w:r w:rsidRPr="0061313A">
        <w:rPr>
          <w:i/>
          <w:iCs/>
          <w:sz w:val="24"/>
          <w:szCs w:val="24"/>
          <w:lang w:val="id-ID"/>
        </w:rPr>
        <w:t>nafs</w:t>
      </w:r>
      <w:r w:rsidRPr="0061313A">
        <w:rPr>
          <w:sz w:val="24"/>
          <w:szCs w:val="24"/>
          <w:lang w:val="id-ID"/>
        </w:rPr>
        <w:t>), protection of intelligence (</w:t>
      </w:r>
      <w:r w:rsidRPr="0061313A">
        <w:rPr>
          <w:i/>
          <w:iCs/>
          <w:sz w:val="24"/>
          <w:szCs w:val="24"/>
          <w:lang w:val="id-ID"/>
        </w:rPr>
        <w:t>'aql</w:t>
      </w:r>
      <w:r w:rsidRPr="0061313A">
        <w:rPr>
          <w:sz w:val="24"/>
          <w:szCs w:val="24"/>
          <w:lang w:val="id-ID"/>
        </w:rPr>
        <w:t>), protection of descent (</w:t>
      </w:r>
      <w:r w:rsidRPr="0061313A">
        <w:rPr>
          <w:i/>
          <w:iCs/>
          <w:sz w:val="24"/>
          <w:szCs w:val="24"/>
          <w:lang w:val="id-ID"/>
        </w:rPr>
        <w:t>nasl</w:t>
      </w:r>
      <w:r w:rsidRPr="0061313A">
        <w:rPr>
          <w:sz w:val="24"/>
          <w:szCs w:val="24"/>
          <w:lang w:val="id-ID"/>
        </w:rPr>
        <w:t>), and protection of property (</w:t>
      </w:r>
      <w:r w:rsidRPr="0061313A">
        <w:rPr>
          <w:i/>
          <w:iCs/>
          <w:sz w:val="24"/>
          <w:szCs w:val="24"/>
          <w:lang w:val="id-ID"/>
        </w:rPr>
        <w:t>mal</w:t>
      </w:r>
      <w:r w:rsidRPr="0061313A">
        <w:rPr>
          <w:sz w:val="24"/>
          <w:szCs w:val="24"/>
          <w:lang w:val="id-ID"/>
        </w:rPr>
        <w:t>) ) (al-Syatibi, 1975: 10). Management of the budget for emergencies during the COVID-19 period with due regard to the principles and principles of sharia</w:t>
      </w:r>
      <w:r w:rsidR="00A870E6">
        <w:rPr>
          <w:sz w:val="24"/>
          <w:szCs w:val="24"/>
          <w:lang w:val="id-ID"/>
        </w:rPr>
        <w:t>h</w:t>
      </w:r>
      <w:r w:rsidRPr="0061313A">
        <w:rPr>
          <w:sz w:val="24"/>
          <w:szCs w:val="24"/>
          <w:lang w:val="id-ID"/>
        </w:rPr>
        <w:t xml:space="preserve"> goals that have a view for the good life of all humans</w:t>
      </w:r>
      <w:r w:rsidR="00672B36">
        <w:rPr>
          <w:bCs/>
          <w:sz w:val="24"/>
          <w:szCs w:val="24"/>
          <w:lang w:val="id-ID"/>
        </w:rPr>
        <w:t>.</w:t>
      </w:r>
    </w:p>
    <w:p w:rsidR="00310A40" w:rsidRDefault="00310A40" w:rsidP="00C14069">
      <w:pPr>
        <w:ind w:firstLine="720"/>
        <w:jc w:val="both"/>
        <w:rPr>
          <w:bCs/>
          <w:sz w:val="24"/>
          <w:szCs w:val="24"/>
          <w:lang w:val="id-ID"/>
        </w:rPr>
      </w:pPr>
    </w:p>
    <w:p w:rsidR="00310A40" w:rsidRDefault="009C6EEC" w:rsidP="00807483">
      <w:pPr>
        <w:jc w:val="both"/>
        <w:rPr>
          <w:bCs/>
          <w:sz w:val="24"/>
          <w:szCs w:val="24"/>
          <w:lang w:val="id-ID"/>
        </w:rPr>
      </w:pPr>
      <w:r w:rsidRPr="00C14069">
        <w:rPr>
          <w:bCs/>
          <w:noProof/>
          <w:sz w:val="24"/>
          <w:szCs w:val="24"/>
          <w:lang w:val="id-ID"/>
        </w:rPr>
        <w:object w:dxaOrig="9431" w:dyaOrig="5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45pt;height:237.75pt" o:ole="">
            <v:imagedata r:id="rId10" o:title=""/>
          </v:shape>
          <o:OLEObject Type="Embed" ProgID="PowerPoint.Slide.12" ShapeID="_x0000_i1025" DrawAspect="Content" ObjectID="_1652704985" r:id="rId11"/>
        </w:object>
      </w:r>
    </w:p>
    <w:p w:rsidR="00C14069" w:rsidRDefault="00FE61BA" w:rsidP="00FE61BA">
      <w:pPr>
        <w:jc w:val="both"/>
        <w:rPr>
          <w:bCs/>
          <w:sz w:val="24"/>
          <w:szCs w:val="24"/>
          <w:lang w:val="id-ID"/>
        </w:rPr>
      </w:pPr>
      <w:r w:rsidRPr="00FE61BA">
        <w:rPr>
          <w:bCs/>
          <w:sz w:val="24"/>
          <w:szCs w:val="24"/>
          <w:lang w:val="id-ID"/>
        </w:rPr>
        <w:t>Figure 1. 3 Levels of Need in Maqashid Sharia</w:t>
      </w:r>
      <w:r>
        <w:rPr>
          <w:bCs/>
          <w:sz w:val="24"/>
          <w:szCs w:val="24"/>
          <w:lang w:val="id-ID"/>
        </w:rPr>
        <w:t>h</w:t>
      </w:r>
      <w:r w:rsidRPr="00FE61BA">
        <w:rPr>
          <w:bCs/>
          <w:sz w:val="24"/>
          <w:szCs w:val="24"/>
          <w:lang w:val="id-ID"/>
        </w:rPr>
        <w:t xml:space="preserve"> for Public Financ</w:t>
      </w:r>
      <w:r>
        <w:rPr>
          <w:bCs/>
          <w:sz w:val="24"/>
          <w:szCs w:val="24"/>
          <w:lang w:val="id-ID"/>
        </w:rPr>
        <w:t>e</w:t>
      </w:r>
      <w:r w:rsidRPr="00FE61BA">
        <w:rPr>
          <w:bCs/>
          <w:sz w:val="24"/>
          <w:szCs w:val="24"/>
          <w:lang w:val="id-ID"/>
        </w:rPr>
        <w:t xml:space="preserve"> Management</w:t>
      </w:r>
    </w:p>
    <w:p w:rsidR="00C14069" w:rsidRDefault="00C14069" w:rsidP="00C14069">
      <w:pPr>
        <w:jc w:val="both"/>
        <w:rPr>
          <w:bCs/>
          <w:sz w:val="24"/>
          <w:szCs w:val="24"/>
          <w:lang w:val="id-ID"/>
        </w:rPr>
      </w:pPr>
    </w:p>
    <w:p w:rsidR="00FE61BA" w:rsidRPr="00FE61BA" w:rsidRDefault="00FE61BA" w:rsidP="00FE61BA">
      <w:pPr>
        <w:ind w:firstLine="720"/>
        <w:jc w:val="both"/>
        <w:rPr>
          <w:bCs/>
          <w:sz w:val="24"/>
          <w:szCs w:val="24"/>
          <w:lang w:val="id-ID"/>
        </w:rPr>
      </w:pPr>
      <w:r w:rsidRPr="00FE61BA">
        <w:rPr>
          <w:bCs/>
          <w:sz w:val="24"/>
          <w:szCs w:val="24"/>
          <w:lang w:val="id-ID"/>
        </w:rPr>
        <w:t>Other instruments of government financial income or other institutions for handling COVID-19 can be obtained through Islamic social finance that is obtained from the community voluntarily, such as zakat, donation, and alms (ZIS). In Islamic social finance, this ZIS is a financial instrument used for public expenditure as part of a source of government revenue that can be spent on overcoming COVID-19 outbreaks and distributed to affected communities. There is a fiqh rule regarding the management of Islamic social finance: "every reduction in public wealth is to increase state income, and every decrease in state wealth is an increase in public wealth" (al-Mawardi, 1983: 266-267). Thus, public spending is an effective tool to divert economic resources, or it implies an increase in overall community income (Jaelani, 2018). Thus, government spending to resolve the impact of COVID-19 is part of improving community welfare.</w:t>
      </w:r>
    </w:p>
    <w:p w:rsidR="008939E1" w:rsidRDefault="00FE61BA" w:rsidP="00FE61BA">
      <w:pPr>
        <w:ind w:firstLine="720"/>
        <w:jc w:val="both"/>
        <w:rPr>
          <w:bCs/>
          <w:sz w:val="24"/>
          <w:szCs w:val="24"/>
          <w:lang w:val="id-ID"/>
        </w:rPr>
      </w:pPr>
      <w:r w:rsidRPr="00FE61BA">
        <w:rPr>
          <w:bCs/>
          <w:sz w:val="24"/>
          <w:szCs w:val="24"/>
          <w:lang w:val="id-ID"/>
        </w:rPr>
        <w:lastRenderedPageBreak/>
        <w:t>In managing public finances, there are five sharia maqasid principles that must be considered during the COVID-19 outbreak which can be illustrated in the following figure 2:</w:t>
      </w:r>
    </w:p>
    <w:p w:rsidR="00807483" w:rsidRDefault="00807483" w:rsidP="0048170D">
      <w:pPr>
        <w:ind w:firstLine="720"/>
        <w:jc w:val="both"/>
        <w:rPr>
          <w:bCs/>
          <w:sz w:val="24"/>
          <w:szCs w:val="24"/>
          <w:lang w:val="id-ID"/>
        </w:rPr>
      </w:pPr>
    </w:p>
    <w:p w:rsidR="00310A40" w:rsidRDefault="009C6EEC" w:rsidP="00807483">
      <w:pPr>
        <w:jc w:val="both"/>
        <w:rPr>
          <w:bCs/>
          <w:sz w:val="24"/>
          <w:szCs w:val="24"/>
          <w:lang w:val="id-ID"/>
        </w:rPr>
      </w:pPr>
      <w:r w:rsidRPr="00807483">
        <w:rPr>
          <w:bCs/>
          <w:noProof/>
          <w:sz w:val="24"/>
          <w:szCs w:val="24"/>
          <w:lang w:val="id-ID"/>
        </w:rPr>
        <w:object w:dxaOrig="9541" w:dyaOrig="5398">
          <v:shape id="_x0000_i1026" type="#_x0000_t75" style="width:425.2pt;height:240.45pt" o:ole="">
            <v:imagedata r:id="rId12" o:title=""/>
          </v:shape>
          <o:OLEObject Type="Embed" ProgID="PowerPoint.Slide.12" ShapeID="_x0000_i1026" DrawAspect="Content" ObjectID="_1652704986" r:id="rId13"/>
        </w:object>
      </w:r>
    </w:p>
    <w:p w:rsidR="00310A40" w:rsidRDefault="00310A40" w:rsidP="0048170D">
      <w:pPr>
        <w:jc w:val="center"/>
        <w:rPr>
          <w:bCs/>
          <w:sz w:val="24"/>
          <w:szCs w:val="24"/>
          <w:lang w:val="id-ID"/>
        </w:rPr>
      </w:pPr>
    </w:p>
    <w:p w:rsidR="0048170D" w:rsidRDefault="00FE61BA" w:rsidP="00FE61BA">
      <w:pPr>
        <w:jc w:val="both"/>
        <w:rPr>
          <w:bCs/>
          <w:sz w:val="24"/>
          <w:szCs w:val="24"/>
          <w:lang w:val="id-ID"/>
        </w:rPr>
      </w:pPr>
      <w:r w:rsidRPr="00FE61BA">
        <w:rPr>
          <w:bCs/>
          <w:sz w:val="24"/>
          <w:szCs w:val="24"/>
          <w:lang w:val="id-ID"/>
        </w:rPr>
        <w:t>Figure 2. 5 Basic Principles of Maqasid Shariah in Public Finance Management during the COVID-19 Outbreaks</w:t>
      </w:r>
    </w:p>
    <w:p w:rsidR="00310A40" w:rsidRDefault="00310A40" w:rsidP="00310A40">
      <w:pPr>
        <w:jc w:val="both"/>
        <w:rPr>
          <w:bCs/>
          <w:sz w:val="24"/>
          <w:szCs w:val="24"/>
          <w:lang w:val="id-ID"/>
        </w:rPr>
      </w:pPr>
    </w:p>
    <w:p w:rsidR="00F04A69" w:rsidRPr="00F45AB1" w:rsidRDefault="004D2BE0" w:rsidP="00FE61BA">
      <w:pPr>
        <w:autoSpaceDE w:val="0"/>
        <w:autoSpaceDN w:val="0"/>
        <w:adjustRightInd w:val="0"/>
        <w:jc w:val="both"/>
        <w:rPr>
          <w:b/>
          <w:sz w:val="24"/>
          <w:szCs w:val="24"/>
          <w:lang w:val="id-ID"/>
        </w:rPr>
      </w:pPr>
      <w:r>
        <w:rPr>
          <w:b/>
          <w:sz w:val="24"/>
          <w:szCs w:val="24"/>
          <w:lang w:val="id-ID"/>
        </w:rPr>
        <w:t>E</w:t>
      </w:r>
      <w:r w:rsidR="0083158A">
        <w:rPr>
          <w:b/>
          <w:sz w:val="24"/>
          <w:szCs w:val="24"/>
          <w:lang w:val="id-ID"/>
        </w:rPr>
        <w:t xml:space="preserve">. </w:t>
      </w:r>
      <w:r w:rsidR="00FE61BA" w:rsidRPr="00FE61BA">
        <w:rPr>
          <w:b/>
          <w:sz w:val="24"/>
          <w:szCs w:val="24"/>
          <w:lang w:val="id-ID"/>
        </w:rPr>
        <w:t>Public Finance and Economic Stimulus for Handling COVID-19 in Indonesia</w:t>
      </w:r>
      <w:r w:rsidR="00F45AB1">
        <w:rPr>
          <w:b/>
          <w:sz w:val="24"/>
          <w:szCs w:val="24"/>
          <w:lang w:val="id-ID"/>
        </w:rPr>
        <w:t xml:space="preserve">  </w:t>
      </w:r>
    </w:p>
    <w:p w:rsidR="00E56017" w:rsidRDefault="00E56017" w:rsidP="00E56017">
      <w:pPr>
        <w:ind w:firstLine="709"/>
        <w:jc w:val="both"/>
        <w:rPr>
          <w:color w:val="222222"/>
          <w:sz w:val="24"/>
          <w:szCs w:val="24"/>
          <w:shd w:val="clear" w:color="auto" w:fill="FFFFFF"/>
          <w:lang w:val="id-ID"/>
        </w:rPr>
      </w:pPr>
      <w:r w:rsidRPr="00E56017">
        <w:rPr>
          <w:color w:val="222222"/>
          <w:sz w:val="24"/>
          <w:szCs w:val="24"/>
          <w:shd w:val="clear" w:color="auto" w:fill="FFFFFF"/>
          <w:lang w:val="id-ID"/>
        </w:rPr>
        <w:t>Handling of COVID-19 in all countries needs to carefully consider the effectiveness and socio-economic consequences of social restrictions and mitigation policies as part of preventing the virus that spreads very quickly while trying to avoid adverse consequences for the community. Therefore, economic policies in the short term should focus on providing emergency assistance to vulnerable people and affected businesses with the aim of avoiding mass layoffs and bankruptcy. As for the medium term, macroeconomic policies must move to recovery measures, which usually involve monetary and fiscal stimulus (Loayza &amp; Pennings, 2020).</w:t>
      </w:r>
    </w:p>
    <w:p w:rsidR="00E56017" w:rsidRDefault="00E56017" w:rsidP="00E56017">
      <w:pPr>
        <w:ind w:firstLine="709"/>
        <w:jc w:val="both"/>
        <w:rPr>
          <w:color w:val="222222"/>
          <w:sz w:val="24"/>
          <w:szCs w:val="24"/>
          <w:shd w:val="clear" w:color="auto" w:fill="FFFFFF"/>
          <w:lang w:val="id-ID"/>
        </w:rPr>
      </w:pPr>
      <w:r w:rsidRPr="00E56017">
        <w:rPr>
          <w:color w:val="222222"/>
          <w:sz w:val="24"/>
          <w:szCs w:val="24"/>
          <w:shd w:val="clear" w:color="auto" w:fill="FFFFFF"/>
          <w:lang w:val="id-ID"/>
        </w:rPr>
        <w:t>COVID-19 is a global shock that requires international coordination in its handling, especially economic policy, health care, and science, and detention and mitigation efforts. Critical times require well-designed government action and effective public service delivery. The impact of this pandemic has caused schools to be closed and the demand for commodities and manufactured products has declined, but the need for medical supplies has increased significantly. The food sector is also facing increased demand due to panic buying and hoarding food products (Nicola et al., 2020).</w:t>
      </w:r>
    </w:p>
    <w:p w:rsidR="00E56017" w:rsidRDefault="00E56017" w:rsidP="00E56017">
      <w:pPr>
        <w:ind w:firstLine="709"/>
        <w:jc w:val="both"/>
        <w:rPr>
          <w:color w:val="222222"/>
          <w:sz w:val="24"/>
          <w:szCs w:val="24"/>
          <w:shd w:val="clear" w:color="auto" w:fill="FFFFFF"/>
          <w:lang w:val="id-ID"/>
        </w:rPr>
      </w:pPr>
      <w:r w:rsidRPr="00E56017">
        <w:rPr>
          <w:color w:val="222222"/>
          <w:sz w:val="24"/>
          <w:szCs w:val="24"/>
          <w:shd w:val="clear" w:color="auto" w:fill="FFFFFF"/>
          <w:lang w:val="id-ID"/>
        </w:rPr>
        <w:t>The research reported by Coibion, Gorodnichenko, &amp; Weber (2020) shows that the labor market is affected by the COVID-19 outbreak. This can be proven by the fact that job losses are significantly greater than new unemployment, those who have lost their jobs are not actively seeking new jobs, and participation in the labor force has decreased by 7 percentage points to beat the cumulative decline from 2008 to 2016. On the other hand, government policy on public health needs to map gender aspects in terms of the number of cases, disease vulnerability, number of medical personnel, and others (Wenham, Smith, &amp; Morgan, 2020).</w:t>
      </w:r>
    </w:p>
    <w:p w:rsidR="00E56017" w:rsidRDefault="00E56017" w:rsidP="00E56017">
      <w:pPr>
        <w:ind w:firstLine="709"/>
        <w:jc w:val="both"/>
        <w:rPr>
          <w:color w:val="222222"/>
          <w:sz w:val="24"/>
          <w:szCs w:val="24"/>
          <w:shd w:val="clear" w:color="auto" w:fill="FFFFFF"/>
          <w:lang w:val="id-ID"/>
        </w:rPr>
      </w:pPr>
      <w:r w:rsidRPr="00E56017">
        <w:rPr>
          <w:color w:val="222222"/>
          <w:sz w:val="24"/>
          <w:szCs w:val="24"/>
          <w:shd w:val="clear" w:color="auto" w:fill="FFFFFF"/>
          <w:lang w:val="id-ID"/>
        </w:rPr>
        <w:lastRenderedPageBreak/>
        <w:t>In handling COVID-19, the government can issue policies that can prevent everyone from experiencing economic destruction such as starvation that can cause anarchist actions and encourage social obligations to help others for those who need it as a result of the plague. Therefore, the government must provide the infrastructure needed for economic development and prosperity together with regulating and financing expenditures needed by public services (al-Mawardi, 1996: 245). However, if the government budget experiences a deficit to meet the public interest (handling COVID-19), a new tax can be set, an increase in public payments on certain financial instruments, lending to the public, while simultaneously providing economic stimulus. If the policy is difficult or even more difficult for people's lives, the government can make loans to other countries. All of these policies are carried out by taking into account the basic needs of the economically affected people and the provisions of existing laws and regulations.</w:t>
      </w:r>
    </w:p>
    <w:p w:rsidR="00E56017" w:rsidRPr="00E56017" w:rsidRDefault="00E56017" w:rsidP="00E56017">
      <w:pPr>
        <w:ind w:firstLine="709"/>
        <w:jc w:val="both"/>
        <w:rPr>
          <w:color w:val="222222"/>
          <w:sz w:val="24"/>
          <w:szCs w:val="24"/>
          <w:shd w:val="clear" w:color="auto" w:fill="FFFFFF"/>
          <w:lang w:val="id-ID"/>
        </w:rPr>
      </w:pPr>
      <w:r w:rsidRPr="00E56017">
        <w:rPr>
          <w:color w:val="222222"/>
          <w:sz w:val="24"/>
          <w:szCs w:val="24"/>
          <w:shd w:val="clear" w:color="auto" w:fill="FFFFFF"/>
          <w:lang w:val="id-ID"/>
        </w:rPr>
        <w:t>To deal with COVID-19, the Indonesian government issued economic stimulus in the form of fiscal and non-fiscal with the aim of keeping the real sector moving and maintaining people's purchasing power to boost domestic economic performance, as summarized in table 1 below:</w:t>
      </w:r>
    </w:p>
    <w:p w:rsidR="00F81D93" w:rsidRDefault="00E56017" w:rsidP="00E56017">
      <w:pPr>
        <w:jc w:val="center"/>
        <w:rPr>
          <w:bCs/>
          <w:sz w:val="24"/>
          <w:szCs w:val="24"/>
          <w:highlight w:val="yellow"/>
          <w:lang w:val="id-ID"/>
        </w:rPr>
      </w:pPr>
      <w:r w:rsidRPr="00E56017">
        <w:rPr>
          <w:color w:val="222222"/>
          <w:sz w:val="24"/>
          <w:szCs w:val="24"/>
          <w:shd w:val="clear" w:color="auto" w:fill="FFFFFF"/>
          <w:lang w:val="id-ID"/>
        </w:rPr>
        <w:t>Table 1. Economic Stimulus for Handling COVID-19</w:t>
      </w:r>
      <w:r>
        <w:rPr>
          <w:color w:val="222222"/>
          <w:sz w:val="24"/>
          <w:szCs w:val="24"/>
          <w:shd w:val="clear" w:color="auto" w:fill="FFFFFF"/>
          <w:lang w:val="id-ID"/>
        </w:rPr>
        <w:t xml:space="preserve"> in Indonesia</w:t>
      </w:r>
    </w:p>
    <w:p w:rsidR="00F81D93" w:rsidRDefault="00F81D93" w:rsidP="00F81D93">
      <w:pPr>
        <w:jc w:val="both"/>
        <w:rPr>
          <w:bCs/>
          <w:sz w:val="24"/>
          <w:szCs w:val="24"/>
          <w:highlight w:val="yellow"/>
          <w:lang w:val="id-ID"/>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
        <w:gridCol w:w="1753"/>
        <w:gridCol w:w="1579"/>
        <w:gridCol w:w="4594"/>
      </w:tblGrid>
      <w:tr w:rsidR="00F81D93" w:rsidRPr="000E3B45" w:rsidTr="007F704C">
        <w:tc>
          <w:tcPr>
            <w:tcW w:w="461" w:type="dxa"/>
          </w:tcPr>
          <w:p w:rsidR="00F81D93" w:rsidRPr="000E3B45" w:rsidRDefault="00F81D93" w:rsidP="00125BD7">
            <w:pPr>
              <w:jc w:val="center"/>
              <w:rPr>
                <w:b/>
                <w:bCs/>
                <w:color w:val="222222"/>
                <w:shd w:val="clear" w:color="auto" w:fill="FFFFFF"/>
                <w:lang w:val="id-ID"/>
              </w:rPr>
            </w:pPr>
            <w:r w:rsidRPr="000E3B45">
              <w:rPr>
                <w:b/>
                <w:bCs/>
                <w:color w:val="222222"/>
                <w:shd w:val="clear" w:color="auto" w:fill="FFFFFF"/>
                <w:lang w:val="id-ID"/>
              </w:rPr>
              <w:t>No</w:t>
            </w:r>
          </w:p>
        </w:tc>
        <w:tc>
          <w:tcPr>
            <w:tcW w:w="1807" w:type="dxa"/>
          </w:tcPr>
          <w:p w:rsidR="00F81D93" w:rsidRPr="000E3B45" w:rsidRDefault="00BD7C24" w:rsidP="00125BD7">
            <w:pPr>
              <w:ind w:right="-108"/>
              <w:jc w:val="center"/>
              <w:rPr>
                <w:b/>
                <w:bCs/>
                <w:color w:val="222222"/>
                <w:shd w:val="clear" w:color="auto" w:fill="FFFFFF"/>
                <w:lang w:val="id-ID"/>
              </w:rPr>
            </w:pPr>
            <w:r w:rsidRPr="00BD7C24">
              <w:rPr>
                <w:b/>
                <w:bCs/>
                <w:color w:val="222222"/>
                <w:shd w:val="clear" w:color="auto" w:fill="FFFFFF"/>
                <w:lang w:val="id-ID"/>
              </w:rPr>
              <w:t>Form</w:t>
            </w:r>
            <w:r>
              <w:rPr>
                <w:b/>
                <w:bCs/>
                <w:color w:val="222222"/>
                <w:shd w:val="clear" w:color="auto" w:fill="FFFFFF"/>
                <w:lang w:val="id-ID"/>
              </w:rPr>
              <w:t>s</w:t>
            </w:r>
            <w:r w:rsidRPr="00BD7C24">
              <w:rPr>
                <w:b/>
                <w:bCs/>
                <w:color w:val="222222"/>
                <w:shd w:val="clear" w:color="auto" w:fill="FFFFFF"/>
                <w:lang w:val="id-ID"/>
              </w:rPr>
              <w:t xml:space="preserve"> of Economic Stimulus</w:t>
            </w:r>
          </w:p>
        </w:tc>
        <w:tc>
          <w:tcPr>
            <w:tcW w:w="1586" w:type="dxa"/>
          </w:tcPr>
          <w:p w:rsidR="00F81D93" w:rsidRPr="000E3B45" w:rsidRDefault="00BD7C24" w:rsidP="000E3B45">
            <w:pPr>
              <w:jc w:val="center"/>
              <w:rPr>
                <w:b/>
                <w:bCs/>
                <w:color w:val="222222"/>
                <w:shd w:val="clear" w:color="auto" w:fill="FFFFFF"/>
                <w:lang w:val="id-ID"/>
              </w:rPr>
            </w:pPr>
            <w:r w:rsidRPr="00BD7C24">
              <w:rPr>
                <w:b/>
                <w:bCs/>
                <w:color w:val="222222"/>
                <w:shd w:val="clear" w:color="auto" w:fill="FFFFFF"/>
                <w:lang w:val="id-ID"/>
              </w:rPr>
              <w:t>Stimu</w:t>
            </w:r>
            <w:r>
              <w:rPr>
                <w:b/>
                <w:bCs/>
                <w:color w:val="222222"/>
                <w:shd w:val="clear" w:color="auto" w:fill="FFFFFF"/>
                <w:lang w:val="id-ID"/>
              </w:rPr>
              <w:t>lus T</w:t>
            </w:r>
            <w:r w:rsidRPr="00BD7C24">
              <w:rPr>
                <w:b/>
                <w:bCs/>
                <w:color w:val="222222"/>
                <w:shd w:val="clear" w:color="auto" w:fill="FFFFFF"/>
                <w:lang w:val="id-ID"/>
              </w:rPr>
              <w:t>ype</w:t>
            </w:r>
          </w:p>
        </w:tc>
        <w:tc>
          <w:tcPr>
            <w:tcW w:w="4759" w:type="dxa"/>
          </w:tcPr>
          <w:p w:rsidR="00F81D93" w:rsidRPr="000E3B45" w:rsidRDefault="006A3F4F" w:rsidP="000E3B45">
            <w:pPr>
              <w:jc w:val="center"/>
              <w:rPr>
                <w:b/>
                <w:bCs/>
                <w:color w:val="222222"/>
                <w:shd w:val="clear" w:color="auto" w:fill="FFFFFF"/>
                <w:lang w:val="id-ID"/>
              </w:rPr>
            </w:pPr>
            <w:r w:rsidRPr="006A3F4F">
              <w:rPr>
                <w:b/>
                <w:bCs/>
                <w:color w:val="222222"/>
                <w:shd w:val="clear" w:color="auto" w:fill="FFFFFF"/>
                <w:lang w:val="id-ID"/>
              </w:rPr>
              <w:t>Stimulus Description and Purpose</w:t>
            </w:r>
          </w:p>
        </w:tc>
      </w:tr>
      <w:tr w:rsidR="006A3F4F" w:rsidRPr="000E3B45" w:rsidTr="007F704C">
        <w:tc>
          <w:tcPr>
            <w:tcW w:w="461" w:type="dxa"/>
            <w:vMerge w:val="restart"/>
          </w:tcPr>
          <w:p w:rsidR="006A3F4F" w:rsidRPr="000E3B45" w:rsidRDefault="006A3F4F" w:rsidP="00125BD7">
            <w:pPr>
              <w:jc w:val="center"/>
              <w:rPr>
                <w:color w:val="222222"/>
                <w:shd w:val="clear" w:color="auto" w:fill="FFFFFF"/>
                <w:lang w:val="id-ID"/>
              </w:rPr>
            </w:pPr>
            <w:r w:rsidRPr="000E3B45">
              <w:rPr>
                <w:color w:val="222222"/>
                <w:shd w:val="clear" w:color="auto" w:fill="FFFFFF"/>
                <w:lang w:val="id-ID"/>
              </w:rPr>
              <w:t>1</w:t>
            </w:r>
          </w:p>
        </w:tc>
        <w:tc>
          <w:tcPr>
            <w:tcW w:w="1807" w:type="dxa"/>
            <w:vMerge w:val="restart"/>
          </w:tcPr>
          <w:p w:rsidR="006A3F4F" w:rsidRPr="000E3B45" w:rsidRDefault="006A3F4F" w:rsidP="000E3B45">
            <w:pPr>
              <w:jc w:val="both"/>
              <w:rPr>
                <w:color w:val="222222"/>
                <w:shd w:val="clear" w:color="auto" w:fill="FFFFFF"/>
                <w:lang w:val="id-ID"/>
              </w:rPr>
            </w:pPr>
            <w:r w:rsidRPr="006A3F4F">
              <w:t>Fiscal stimulus</w:t>
            </w:r>
          </w:p>
        </w:tc>
        <w:tc>
          <w:tcPr>
            <w:tcW w:w="1586" w:type="dxa"/>
          </w:tcPr>
          <w:p w:rsidR="006A3F4F" w:rsidRPr="00FC6DD8" w:rsidRDefault="006A3F4F" w:rsidP="009645B3">
            <w:r w:rsidRPr="00FC6DD8">
              <w:t>Relaxation of Income Tax, Article 21 (Income Tax, Article 21)</w:t>
            </w:r>
          </w:p>
        </w:tc>
        <w:tc>
          <w:tcPr>
            <w:tcW w:w="4759" w:type="dxa"/>
          </w:tcPr>
          <w:p w:rsidR="006A3F4F" w:rsidRPr="006A3F4F" w:rsidRDefault="006A3F4F" w:rsidP="006A3F4F">
            <w:pPr>
              <w:numPr>
                <w:ilvl w:val="0"/>
                <w:numId w:val="42"/>
              </w:numPr>
              <w:ind w:left="175" w:hanging="175"/>
              <w:jc w:val="both"/>
              <w:rPr>
                <w:bCs/>
              </w:rPr>
            </w:pPr>
            <w:r w:rsidRPr="006A3F4F">
              <w:rPr>
                <w:bCs/>
              </w:rPr>
              <w:t>Relaxation is provided through the Article 21 Government Borne Income Tax (DTP) scheme of 100% of the income of workers up to Rp 200 million in the manufacturing sector.</w:t>
            </w:r>
          </w:p>
          <w:p w:rsidR="006A3F4F" w:rsidRPr="006A3F4F" w:rsidRDefault="006A3F4F" w:rsidP="006A3F4F">
            <w:pPr>
              <w:numPr>
                <w:ilvl w:val="0"/>
                <w:numId w:val="42"/>
              </w:numPr>
              <w:ind w:left="175" w:hanging="175"/>
              <w:jc w:val="both"/>
              <w:rPr>
                <w:bCs/>
              </w:rPr>
            </w:pPr>
            <w:r w:rsidRPr="006A3F4F">
              <w:rPr>
                <w:bCs/>
              </w:rPr>
              <w:t>Given for 6 months (April-September 2020).</w:t>
            </w:r>
          </w:p>
          <w:p w:rsidR="006A3F4F" w:rsidRPr="000E3B45" w:rsidRDefault="006A3F4F" w:rsidP="006A3F4F">
            <w:pPr>
              <w:numPr>
                <w:ilvl w:val="0"/>
                <w:numId w:val="42"/>
              </w:numPr>
              <w:ind w:left="175" w:hanging="175"/>
              <w:jc w:val="both"/>
              <w:rPr>
                <w:color w:val="222222"/>
                <w:shd w:val="clear" w:color="auto" w:fill="FFFFFF"/>
                <w:lang w:val="id-ID"/>
              </w:rPr>
            </w:pPr>
            <w:r w:rsidRPr="006A3F4F">
              <w:rPr>
                <w:bCs/>
              </w:rPr>
              <w:t>Purpose: Workers need to earn extra inco</w:t>
            </w:r>
            <w:r>
              <w:rPr>
                <w:bCs/>
              </w:rPr>
              <w:t>me to maintain purchasing power</w:t>
            </w:r>
            <w:r w:rsidRPr="000E3B45">
              <w:rPr>
                <w:bCs/>
              </w:rPr>
              <w:t>.</w:t>
            </w:r>
          </w:p>
        </w:tc>
      </w:tr>
      <w:tr w:rsidR="006A3F4F" w:rsidRPr="000E3B45" w:rsidTr="007F704C">
        <w:tc>
          <w:tcPr>
            <w:tcW w:w="461" w:type="dxa"/>
            <w:vMerge/>
          </w:tcPr>
          <w:p w:rsidR="006A3F4F" w:rsidRPr="000E3B45" w:rsidRDefault="006A3F4F" w:rsidP="00125BD7">
            <w:pPr>
              <w:jc w:val="center"/>
              <w:rPr>
                <w:color w:val="222222"/>
                <w:shd w:val="clear" w:color="auto" w:fill="FFFFFF"/>
                <w:lang w:val="id-ID"/>
              </w:rPr>
            </w:pPr>
          </w:p>
        </w:tc>
        <w:tc>
          <w:tcPr>
            <w:tcW w:w="1807" w:type="dxa"/>
            <w:vMerge/>
          </w:tcPr>
          <w:p w:rsidR="006A3F4F" w:rsidRPr="000E3B45" w:rsidRDefault="006A3F4F" w:rsidP="000E3B45">
            <w:pPr>
              <w:jc w:val="both"/>
              <w:rPr>
                <w:color w:val="222222"/>
                <w:shd w:val="clear" w:color="auto" w:fill="FFFFFF"/>
                <w:lang w:val="id-ID"/>
              </w:rPr>
            </w:pPr>
          </w:p>
        </w:tc>
        <w:tc>
          <w:tcPr>
            <w:tcW w:w="1586" w:type="dxa"/>
          </w:tcPr>
          <w:p w:rsidR="006A3F4F" w:rsidRPr="00FC6DD8" w:rsidRDefault="006A3F4F" w:rsidP="009645B3">
            <w:r w:rsidRPr="00FC6DD8">
              <w:t>Relaxation of Income Tax, Article 22 Imports (Income Tax, Article 22 Imports)</w:t>
            </w:r>
          </w:p>
        </w:tc>
        <w:tc>
          <w:tcPr>
            <w:tcW w:w="4759" w:type="dxa"/>
          </w:tcPr>
          <w:p w:rsidR="006A3F4F" w:rsidRPr="006A3F4F"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Relaxation is given through the exemption of Article 22 Import PPh exemption scheme for 19 certain sectors, KITE Taxpayers, and IKM KITE Taxpayers.</w:t>
            </w:r>
          </w:p>
          <w:p w:rsidR="006A3F4F" w:rsidRPr="006A3F4F"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Given for 6 months (April-September 2020).</w:t>
            </w:r>
          </w:p>
          <w:p w:rsidR="006A3F4F" w:rsidRPr="000E3B45"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Purpose: provide industry cash flow space as compensation for switching costs (costs related to changes in the country of origin of imports).</w:t>
            </w:r>
          </w:p>
        </w:tc>
      </w:tr>
      <w:tr w:rsidR="006A3F4F" w:rsidRPr="000E3B45" w:rsidTr="007F704C">
        <w:tc>
          <w:tcPr>
            <w:tcW w:w="461" w:type="dxa"/>
            <w:vMerge/>
          </w:tcPr>
          <w:p w:rsidR="006A3F4F" w:rsidRPr="000E3B45" w:rsidRDefault="006A3F4F" w:rsidP="00125BD7">
            <w:pPr>
              <w:jc w:val="center"/>
              <w:rPr>
                <w:color w:val="222222"/>
                <w:shd w:val="clear" w:color="auto" w:fill="FFFFFF"/>
                <w:lang w:val="id-ID"/>
              </w:rPr>
            </w:pPr>
          </w:p>
        </w:tc>
        <w:tc>
          <w:tcPr>
            <w:tcW w:w="1807" w:type="dxa"/>
            <w:vMerge/>
          </w:tcPr>
          <w:p w:rsidR="006A3F4F" w:rsidRPr="000E3B45" w:rsidRDefault="006A3F4F" w:rsidP="000E3B45">
            <w:pPr>
              <w:jc w:val="both"/>
              <w:rPr>
                <w:color w:val="222222"/>
                <w:shd w:val="clear" w:color="auto" w:fill="FFFFFF"/>
                <w:lang w:val="id-ID"/>
              </w:rPr>
            </w:pPr>
          </w:p>
        </w:tc>
        <w:tc>
          <w:tcPr>
            <w:tcW w:w="1586" w:type="dxa"/>
          </w:tcPr>
          <w:p w:rsidR="006A3F4F" w:rsidRDefault="006A3F4F" w:rsidP="009645B3">
            <w:r w:rsidRPr="00FC6DD8">
              <w:t>Relaxation of Income Tax, Article 25 (Income Tax, Article 25)</w:t>
            </w:r>
          </w:p>
        </w:tc>
        <w:tc>
          <w:tcPr>
            <w:tcW w:w="4759" w:type="dxa"/>
          </w:tcPr>
          <w:p w:rsidR="006A3F4F" w:rsidRPr="006A3F4F"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Relaxation is provided through a scheme of reducing the Income Tax Article 25 by 30% to 19 certain sectors, KITE Taxpayers, and KITE-IKM Taxpayers.</w:t>
            </w:r>
          </w:p>
          <w:p w:rsidR="006A3F4F" w:rsidRPr="006A3F4F"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Given for 6 months (April-September 2020).</w:t>
            </w:r>
          </w:p>
          <w:p w:rsidR="006A3F4F" w:rsidRPr="000E3B45"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Purpose: the industry obtains cash flow space as compensation for switching costs (costs related to changes in the country of origin of imports and export destinations), and changes in export destination countries to increase exports.</w:t>
            </w:r>
          </w:p>
        </w:tc>
      </w:tr>
      <w:tr w:rsidR="00086D74" w:rsidRPr="000E3B45" w:rsidTr="007F704C">
        <w:tc>
          <w:tcPr>
            <w:tcW w:w="461" w:type="dxa"/>
            <w:vMerge/>
          </w:tcPr>
          <w:p w:rsidR="00086D74" w:rsidRPr="000E3B45" w:rsidRDefault="00086D74" w:rsidP="00125BD7">
            <w:pPr>
              <w:jc w:val="center"/>
              <w:rPr>
                <w:color w:val="222222"/>
                <w:shd w:val="clear" w:color="auto" w:fill="FFFFFF"/>
                <w:lang w:val="id-ID"/>
              </w:rPr>
            </w:pPr>
          </w:p>
        </w:tc>
        <w:tc>
          <w:tcPr>
            <w:tcW w:w="1807" w:type="dxa"/>
            <w:vMerge/>
          </w:tcPr>
          <w:p w:rsidR="00086D74" w:rsidRPr="000E3B45" w:rsidRDefault="00086D74" w:rsidP="000E3B45">
            <w:pPr>
              <w:jc w:val="both"/>
              <w:rPr>
                <w:color w:val="222222"/>
                <w:shd w:val="clear" w:color="auto" w:fill="FFFFFF"/>
                <w:lang w:val="id-ID"/>
              </w:rPr>
            </w:pPr>
          </w:p>
        </w:tc>
        <w:tc>
          <w:tcPr>
            <w:tcW w:w="1586" w:type="dxa"/>
          </w:tcPr>
          <w:p w:rsidR="00086D74" w:rsidRPr="000E3B45" w:rsidRDefault="006A3F4F" w:rsidP="000E3B45">
            <w:pPr>
              <w:jc w:val="both"/>
              <w:rPr>
                <w:color w:val="222222"/>
                <w:shd w:val="clear" w:color="auto" w:fill="FFFFFF"/>
                <w:lang w:val="id-ID"/>
              </w:rPr>
            </w:pPr>
            <w:r w:rsidRPr="006A3F4F">
              <w:rPr>
                <w:color w:val="222222"/>
                <w:shd w:val="clear" w:color="auto" w:fill="FFFFFF"/>
                <w:lang w:val="id-ID"/>
              </w:rPr>
              <w:t>Relaxation of Value Added Tax (VAT) refunds</w:t>
            </w:r>
          </w:p>
        </w:tc>
        <w:tc>
          <w:tcPr>
            <w:tcW w:w="4759" w:type="dxa"/>
          </w:tcPr>
          <w:p w:rsidR="006A3F4F" w:rsidRPr="006A3F4F"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Relaxation is provided through the acceleration of VAT refunds (preliminary returns) for 19 specific sectors, WP KITE, and WP KITE-IKM.</w:t>
            </w:r>
          </w:p>
          <w:p w:rsidR="006A3F4F" w:rsidRPr="006A3F4F"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Given for 6 months (April-September 2020).</w:t>
            </w:r>
          </w:p>
          <w:p w:rsidR="00086D74" w:rsidRPr="000E3B45" w:rsidRDefault="006A3F4F" w:rsidP="006A3F4F">
            <w:pPr>
              <w:numPr>
                <w:ilvl w:val="0"/>
                <w:numId w:val="42"/>
              </w:numPr>
              <w:ind w:left="175" w:hanging="175"/>
              <w:jc w:val="both"/>
              <w:rPr>
                <w:color w:val="222222"/>
                <w:shd w:val="clear" w:color="auto" w:fill="FFFFFF"/>
                <w:lang w:val="id-ID"/>
              </w:rPr>
            </w:pPr>
            <w:r w:rsidRPr="006A3F4F">
              <w:rPr>
                <w:color w:val="222222"/>
                <w:shd w:val="clear" w:color="auto" w:fill="FFFFFF"/>
                <w:lang w:val="id-ID"/>
              </w:rPr>
              <w:t>Purpose: Taxpayers can be more optimal in maintaining liquidity</w:t>
            </w:r>
            <w:r w:rsidR="00086D74" w:rsidRPr="000E3B45">
              <w:rPr>
                <w:color w:val="222222"/>
                <w:shd w:val="clear" w:color="auto" w:fill="FFFFFF"/>
                <w:lang w:val="id-ID"/>
              </w:rPr>
              <w:t>.</w:t>
            </w:r>
          </w:p>
        </w:tc>
      </w:tr>
      <w:tr w:rsidR="006A3F4F" w:rsidRPr="000E3B45" w:rsidTr="007F704C">
        <w:tc>
          <w:tcPr>
            <w:tcW w:w="461" w:type="dxa"/>
            <w:vMerge w:val="restart"/>
          </w:tcPr>
          <w:p w:rsidR="006A3F4F" w:rsidRPr="000E3B45" w:rsidRDefault="006A3F4F" w:rsidP="00125BD7">
            <w:pPr>
              <w:jc w:val="center"/>
              <w:rPr>
                <w:color w:val="222222"/>
                <w:shd w:val="clear" w:color="auto" w:fill="FFFFFF"/>
                <w:lang w:val="id-ID"/>
              </w:rPr>
            </w:pPr>
            <w:r w:rsidRPr="000E3B45">
              <w:rPr>
                <w:color w:val="222222"/>
                <w:shd w:val="clear" w:color="auto" w:fill="FFFFFF"/>
                <w:lang w:val="id-ID"/>
              </w:rPr>
              <w:t>2</w:t>
            </w:r>
          </w:p>
        </w:tc>
        <w:tc>
          <w:tcPr>
            <w:tcW w:w="1807" w:type="dxa"/>
            <w:vMerge w:val="restart"/>
          </w:tcPr>
          <w:p w:rsidR="006A3F4F" w:rsidRPr="000E3B45" w:rsidRDefault="006A3F4F" w:rsidP="006A3F4F">
            <w:pPr>
              <w:jc w:val="both"/>
              <w:rPr>
                <w:color w:val="222222"/>
                <w:shd w:val="clear" w:color="auto" w:fill="FFFFFF"/>
                <w:lang w:val="id-ID"/>
              </w:rPr>
            </w:pPr>
            <w:r w:rsidRPr="000E3B45">
              <w:rPr>
                <w:color w:val="222222"/>
                <w:shd w:val="clear" w:color="auto" w:fill="FFFFFF"/>
                <w:lang w:val="id-ID"/>
              </w:rPr>
              <w:t>Non-Fis</w:t>
            </w:r>
            <w:r>
              <w:rPr>
                <w:color w:val="222222"/>
                <w:shd w:val="clear" w:color="auto" w:fill="FFFFFF"/>
                <w:lang w:val="id-ID"/>
              </w:rPr>
              <w:t>c</w:t>
            </w:r>
            <w:r w:rsidRPr="000E3B45">
              <w:rPr>
                <w:color w:val="222222"/>
                <w:shd w:val="clear" w:color="auto" w:fill="FFFFFF"/>
                <w:lang w:val="id-ID"/>
              </w:rPr>
              <w:t>al Stimulus</w:t>
            </w:r>
          </w:p>
        </w:tc>
        <w:tc>
          <w:tcPr>
            <w:tcW w:w="1586" w:type="dxa"/>
          </w:tcPr>
          <w:p w:rsidR="006A3F4F" w:rsidRPr="00141A4F" w:rsidRDefault="006A3F4F" w:rsidP="009645B3">
            <w:r w:rsidRPr="00141A4F">
              <w:t xml:space="preserve">Simplification </w:t>
            </w:r>
            <w:r>
              <w:t xml:space="preserve">and reduction of the number of </w:t>
            </w:r>
            <w:r>
              <w:rPr>
                <w:lang w:val="id-ID"/>
              </w:rPr>
              <w:t>p</w:t>
            </w:r>
            <w:r w:rsidRPr="00141A4F">
              <w:t>rohibi</w:t>
            </w:r>
            <w:r>
              <w:t xml:space="preserve">tions and </w:t>
            </w:r>
            <w:r>
              <w:rPr>
                <w:lang w:val="id-ID"/>
              </w:rPr>
              <w:lastRenderedPageBreak/>
              <w:t>r</w:t>
            </w:r>
            <w:r>
              <w:t xml:space="preserve">estrictions </w:t>
            </w:r>
            <w:r w:rsidRPr="00141A4F">
              <w:t>for export activities</w:t>
            </w:r>
          </w:p>
        </w:tc>
        <w:tc>
          <w:tcPr>
            <w:tcW w:w="4759" w:type="dxa"/>
          </w:tcPr>
          <w:p w:rsidR="00146ADB" w:rsidRPr="00146ADB" w:rsidRDefault="00146ADB" w:rsidP="00146ADB">
            <w:pPr>
              <w:numPr>
                <w:ilvl w:val="0"/>
                <w:numId w:val="42"/>
              </w:numPr>
              <w:ind w:left="149" w:hanging="142"/>
              <w:jc w:val="both"/>
              <w:rPr>
                <w:color w:val="222222"/>
                <w:shd w:val="clear" w:color="auto" w:fill="FFFFFF"/>
                <w:lang w:val="id-ID"/>
              </w:rPr>
            </w:pPr>
            <w:r>
              <w:rPr>
                <w:color w:val="222222"/>
                <w:shd w:val="clear" w:color="auto" w:fill="FFFFFF"/>
                <w:lang w:val="id-ID"/>
              </w:rPr>
              <w:lastRenderedPageBreak/>
              <w:t>H</w:t>
            </w:r>
            <w:r w:rsidRPr="00146ADB">
              <w:rPr>
                <w:color w:val="222222"/>
                <w:shd w:val="clear" w:color="auto" w:fill="FFFFFF"/>
                <w:lang w:val="id-ID"/>
              </w:rPr>
              <w:t>ealth Certificate and V-Legal documents are no longer a document of export requirements unless required by the exporter.</w:t>
            </w:r>
          </w:p>
          <w:p w:rsidR="006A3F4F" w:rsidRPr="000E3B45"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Purpose: to increase export smoothness and competitiveness.</w:t>
            </w:r>
          </w:p>
        </w:tc>
      </w:tr>
      <w:tr w:rsidR="006A3F4F" w:rsidRPr="000E3B45" w:rsidTr="007F704C">
        <w:tc>
          <w:tcPr>
            <w:tcW w:w="461" w:type="dxa"/>
            <w:vMerge/>
          </w:tcPr>
          <w:p w:rsidR="006A3F4F" w:rsidRPr="000E3B45" w:rsidRDefault="006A3F4F" w:rsidP="00125BD7">
            <w:pPr>
              <w:jc w:val="center"/>
              <w:rPr>
                <w:color w:val="222222"/>
                <w:shd w:val="clear" w:color="auto" w:fill="FFFFFF"/>
                <w:lang w:val="id-ID"/>
              </w:rPr>
            </w:pPr>
          </w:p>
        </w:tc>
        <w:tc>
          <w:tcPr>
            <w:tcW w:w="1807" w:type="dxa"/>
            <w:vMerge/>
          </w:tcPr>
          <w:p w:rsidR="006A3F4F" w:rsidRPr="000E3B45" w:rsidRDefault="006A3F4F" w:rsidP="000E3B45">
            <w:pPr>
              <w:jc w:val="both"/>
              <w:rPr>
                <w:color w:val="222222"/>
                <w:shd w:val="clear" w:color="auto" w:fill="FFFFFF"/>
                <w:lang w:val="id-ID"/>
              </w:rPr>
            </w:pPr>
          </w:p>
        </w:tc>
        <w:tc>
          <w:tcPr>
            <w:tcW w:w="1586" w:type="dxa"/>
          </w:tcPr>
          <w:p w:rsidR="006A3F4F" w:rsidRPr="00141A4F" w:rsidRDefault="006A3F4F" w:rsidP="009645B3">
            <w:r w:rsidRPr="00141A4F">
              <w:t>Simplification and reduction of the number of prohibi</w:t>
            </w:r>
            <w:r>
              <w:t xml:space="preserve">tions and restrictions </w:t>
            </w:r>
            <w:r w:rsidRPr="00141A4F">
              <w:t>for import activities, especially raw materials.</w:t>
            </w:r>
          </w:p>
        </w:tc>
        <w:tc>
          <w:tcPr>
            <w:tcW w:w="4759" w:type="dxa"/>
          </w:tcPr>
          <w:p w:rsidR="00146ADB" w:rsidRPr="00146ADB" w:rsidRDefault="00146ADB" w:rsidP="00146ADB">
            <w:pPr>
              <w:numPr>
                <w:ilvl w:val="0"/>
                <w:numId w:val="42"/>
              </w:numPr>
              <w:ind w:left="149" w:hanging="149"/>
              <w:jc w:val="both"/>
              <w:rPr>
                <w:color w:val="222222"/>
                <w:shd w:val="clear" w:color="auto" w:fill="FFFFFF"/>
                <w:lang w:val="id-ID"/>
              </w:rPr>
            </w:pPr>
            <w:r w:rsidRPr="00146ADB">
              <w:rPr>
                <w:color w:val="222222"/>
                <w:shd w:val="clear" w:color="auto" w:fill="FFFFFF"/>
                <w:lang w:val="id-ID"/>
              </w:rPr>
              <w:t>This stimulus is given to companies with status as producers and in the initial stages will be applied to steel products, alloy steel, and products, then to strategic food products such as industrial salt, sugar, flour as raw materials for manufacturing industries.</w:t>
            </w:r>
          </w:p>
          <w:p w:rsidR="006A3F4F" w:rsidRPr="000E3B45" w:rsidRDefault="00146ADB" w:rsidP="00146ADB">
            <w:pPr>
              <w:numPr>
                <w:ilvl w:val="0"/>
                <w:numId w:val="42"/>
              </w:numPr>
              <w:ind w:left="149" w:hanging="149"/>
              <w:jc w:val="both"/>
              <w:rPr>
                <w:color w:val="222222"/>
                <w:shd w:val="clear" w:color="auto" w:fill="FFFFFF"/>
                <w:lang w:val="id-ID"/>
              </w:rPr>
            </w:pPr>
            <w:r w:rsidRPr="00146ADB">
              <w:rPr>
                <w:color w:val="222222"/>
                <w:shd w:val="clear" w:color="auto" w:fill="FFFFFF"/>
                <w:lang w:val="id-ID"/>
              </w:rPr>
              <w:t>Purpose: To improve the smoothness and availability of raw materials.</w:t>
            </w:r>
          </w:p>
        </w:tc>
      </w:tr>
      <w:tr w:rsidR="006A3F4F" w:rsidRPr="000E3B45" w:rsidTr="007F704C">
        <w:tc>
          <w:tcPr>
            <w:tcW w:w="461" w:type="dxa"/>
            <w:vMerge/>
          </w:tcPr>
          <w:p w:rsidR="006A3F4F" w:rsidRPr="000E3B45" w:rsidRDefault="006A3F4F" w:rsidP="00125BD7">
            <w:pPr>
              <w:jc w:val="center"/>
              <w:rPr>
                <w:color w:val="222222"/>
                <w:shd w:val="clear" w:color="auto" w:fill="FFFFFF"/>
                <w:lang w:val="id-ID"/>
              </w:rPr>
            </w:pPr>
          </w:p>
        </w:tc>
        <w:tc>
          <w:tcPr>
            <w:tcW w:w="1807" w:type="dxa"/>
            <w:vMerge/>
          </w:tcPr>
          <w:p w:rsidR="006A3F4F" w:rsidRPr="000E3B45" w:rsidRDefault="006A3F4F" w:rsidP="000E3B45">
            <w:pPr>
              <w:jc w:val="both"/>
              <w:rPr>
                <w:color w:val="222222"/>
                <w:shd w:val="clear" w:color="auto" w:fill="FFFFFF"/>
                <w:lang w:val="id-ID"/>
              </w:rPr>
            </w:pPr>
          </w:p>
        </w:tc>
        <w:tc>
          <w:tcPr>
            <w:tcW w:w="1586" w:type="dxa"/>
          </w:tcPr>
          <w:p w:rsidR="006A3F4F" w:rsidRDefault="006A3F4F" w:rsidP="009645B3">
            <w:r w:rsidRPr="00141A4F">
              <w:t>Accelerating the</w:t>
            </w:r>
            <w:r>
              <w:t xml:space="preserve"> export and import process for </w:t>
            </w:r>
            <w:r>
              <w:rPr>
                <w:lang w:val="id-ID"/>
              </w:rPr>
              <w:t>r</w:t>
            </w:r>
            <w:r>
              <w:t xml:space="preserve">eputable </w:t>
            </w:r>
            <w:r>
              <w:rPr>
                <w:lang w:val="id-ID"/>
              </w:rPr>
              <w:t>t</w:t>
            </w:r>
            <w:r w:rsidRPr="00141A4F">
              <w:t>raders, namely companies related to export-import activities that have a high level of compliance</w:t>
            </w:r>
          </w:p>
        </w:tc>
        <w:tc>
          <w:tcPr>
            <w:tcW w:w="4759" w:type="dxa"/>
          </w:tcPr>
          <w:p w:rsidR="00146ADB" w:rsidRPr="00146ADB"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In principle, companies with a good reputation will be given additional incentives in the form of accelerating the export and import process: the application of auto-response and auto-approval for the prohibition and restriction process, both export and import as well as the deletion of surveyor reports on mandatory commodities.</w:t>
            </w:r>
          </w:p>
          <w:p w:rsidR="006A3F4F" w:rsidRPr="000E3B45"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Purpose: to accelerate the export and import process</w:t>
            </w:r>
          </w:p>
        </w:tc>
      </w:tr>
      <w:tr w:rsidR="003F5E1A" w:rsidRPr="000E3B45" w:rsidTr="007F704C">
        <w:tc>
          <w:tcPr>
            <w:tcW w:w="461" w:type="dxa"/>
            <w:tcBorders>
              <w:top w:val="nil"/>
            </w:tcBorders>
          </w:tcPr>
          <w:p w:rsidR="003F5E1A" w:rsidRPr="000E3B45" w:rsidRDefault="003F5E1A" w:rsidP="00125BD7">
            <w:pPr>
              <w:jc w:val="center"/>
              <w:rPr>
                <w:color w:val="222222"/>
                <w:shd w:val="clear" w:color="auto" w:fill="FFFFFF"/>
                <w:lang w:val="id-ID"/>
              </w:rPr>
            </w:pPr>
          </w:p>
        </w:tc>
        <w:tc>
          <w:tcPr>
            <w:tcW w:w="1807" w:type="dxa"/>
            <w:tcBorders>
              <w:top w:val="nil"/>
            </w:tcBorders>
          </w:tcPr>
          <w:p w:rsidR="003F5E1A" w:rsidRPr="000E3B45" w:rsidRDefault="003F5E1A" w:rsidP="000E3B45">
            <w:pPr>
              <w:jc w:val="both"/>
              <w:rPr>
                <w:color w:val="222222"/>
                <w:shd w:val="clear" w:color="auto" w:fill="FFFFFF"/>
                <w:lang w:val="id-ID"/>
              </w:rPr>
            </w:pPr>
          </w:p>
        </w:tc>
        <w:tc>
          <w:tcPr>
            <w:tcW w:w="1586" w:type="dxa"/>
          </w:tcPr>
          <w:p w:rsidR="003F5E1A" w:rsidRPr="000E3B45" w:rsidRDefault="00146ADB" w:rsidP="000E3B45">
            <w:pPr>
              <w:jc w:val="both"/>
              <w:rPr>
                <w:color w:val="222222"/>
                <w:shd w:val="clear" w:color="auto" w:fill="FFFFFF"/>
                <w:lang w:val="id-ID"/>
              </w:rPr>
            </w:pPr>
            <w:r w:rsidRPr="00146ADB">
              <w:rPr>
                <w:color w:val="222222"/>
                <w:shd w:val="clear" w:color="auto" w:fill="FFFFFF"/>
                <w:lang w:val="id-ID"/>
              </w:rPr>
              <w:t>Improvement and acceleration of export-import process services, and supervision through the development of the National Logistics Ecosystem (NLE)</w:t>
            </w:r>
          </w:p>
        </w:tc>
        <w:tc>
          <w:tcPr>
            <w:tcW w:w="4759" w:type="dxa"/>
          </w:tcPr>
          <w:p w:rsidR="00146ADB" w:rsidRPr="00146ADB"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NLE is a platform that facilitates information system collaboration between government and private agencies to simulate and synchronize the flow of information and documents in export/import activities at ports, and trade/distribution of domestic goods through data sharing, business process simulations, and elimination of repetitions, and duplication. This NLE is to improve national logistics efficiency by integrating government services with operational logistic</w:t>
            </w:r>
            <w:r>
              <w:rPr>
                <w:color w:val="222222"/>
                <w:shd w:val="clear" w:color="auto" w:fill="FFFFFF"/>
                <w:lang w:val="id-ID"/>
              </w:rPr>
              <w:t>s platforms</w:t>
            </w:r>
            <w:r w:rsidRPr="00146ADB">
              <w:rPr>
                <w:color w:val="222222"/>
                <w:shd w:val="clear" w:color="auto" w:fill="FFFFFF"/>
                <w:lang w:val="id-ID"/>
              </w:rPr>
              <w:t>.</w:t>
            </w:r>
          </w:p>
          <w:p w:rsidR="00897348" w:rsidRPr="000E3B45"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Purpose: to accelerate the export and import process services.</w:t>
            </w:r>
          </w:p>
        </w:tc>
      </w:tr>
      <w:tr w:rsidR="00146ADB" w:rsidRPr="000E3B45" w:rsidTr="007F704C">
        <w:tc>
          <w:tcPr>
            <w:tcW w:w="461" w:type="dxa"/>
            <w:vMerge w:val="restart"/>
          </w:tcPr>
          <w:p w:rsidR="00146ADB" w:rsidRPr="000E3B45" w:rsidRDefault="00146ADB" w:rsidP="00125BD7">
            <w:pPr>
              <w:jc w:val="center"/>
              <w:rPr>
                <w:color w:val="222222"/>
                <w:shd w:val="clear" w:color="auto" w:fill="FFFFFF"/>
                <w:lang w:val="id-ID"/>
              </w:rPr>
            </w:pPr>
            <w:r w:rsidRPr="000E3B45">
              <w:rPr>
                <w:color w:val="222222"/>
                <w:shd w:val="clear" w:color="auto" w:fill="FFFFFF"/>
                <w:lang w:val="id-ID"/>
              </w:rPr>
              <w:t>3</w:t>
            </w:r>
          </w:p>
        </w:tc>
        <w:tc>
          <w:tcPr>
            <w:tcW w:w="1807" w:type="dxa"/>
            <w:vMerge w:val="restart"/>
          </w:tcPr>
          <w:p w:rsidR="00146ADB" w:rsidRPr="000E3B45" w:rsidRDefault="00146ADB" w:rsidP="000E3B45">
            <w:pPr>
              <w:jc w:val="both"/>
              <w:rPr>
                <w:color w:val="222222"/>
                <w:shd w:val="clear" w:color="auto" w:fill="FFFFFF"/>
                <w:lang w:val="id-ID"/>
              </w:rPr>
            </w:pPr>
            <w:r w:rsidRPr="00146ADB">
              <w:rPr>
                <w:color w:val="222222"/>
                <w:shd w:val="clear" w:color="auto" w:fill="FFFFFF"/>
                <w:lang w:val="id-ID"/>
              </w:rPr>
              <w:t>Financial Sector Stimulus</w:t>
            </w:r>
          </w:p>
        </w:tc>
        <w:tc>
          <w:tcPr>
            <w:tcW w:w="1586" w:type="dxa"/>
          </w:tcPr>
          <w:p w:rsidR="00146ADB" w:rsidRPr="00555218" w:rsidRDefault="00146ADB" w:rsidP="009645B3">
            <w:r w:rsidRPr="00555218">
              <w:t>Countercyclical policy through OJK Regulation (POJK) concerning the national economic stimulus</w:t>
            </w:r>
          </w:p>
        </w:tc>
        <w:tc>
          <w:tcPr>
            <w:tcW w:w="4759" w:type="dxa"/>
          </w:tcPr>
          <w:p w:rsidR="00146ADB" w:rsidRPr="000E3B45" w:rsidRDefault="00146ADB" w:rsidP="00125BD7">
            <w:pPr>
              <w:jc w:val="both"/>
              <w:rPr>
                <w:color w:val="222222"/>
                <w:shd w:val="clear" w:color="auto" w:fill="FFFFFF"/>
                <w:lang w:val="id-ID"/>
              </w:rPr>
            </w:pPr>
            <w:r w:rsidRPr="00146ADB">
              <w:rPr>
                <w:color w:val="222222"/>
                <w:shd w:val="clear" w:color="auto" w:fill="FFFFFF"/>
                <w:lang w:val="id-ID"/>
              </w:rPr>
              <w:t>The Financial Services Authority (OJK) issued several policies as a countercyclical impact of the spread of COVID-19.</w:t>
            </w:r>
          </w:p>
        </w:tc>
      </w:tr>
      <w:tr w:rsidR="00146ADB" w:rsidRPr="000E3B45" w:rsidTr="007F704C">
        <w:tc>
          <w:tcPr>
            <w:tcW w:w="461" w:type="dxa"/>
            <w:vMerge/>
          </w:tcPr>
          <w:p w:rsidR="00146ADB" w:rsidRPr="000E3B45" w:rsidRDefault="00146ADB" w:rsidP="00125BD7">
            <w:pPr>
              <w:jc w:val="center"/>
              <w:rPr>
                <w:color w:val="222222"/>
                <w:shd w:val="clear" w:color="auto" w:fill="FFFFFF"/>
                <w:lang w:val="id-ID"/>
              </w:rPr>
            </w:pPr>
          </w:p>
        </w:tc>
        <w:tc>
          <w:tcPr>
            <w:tcW w:w="1807" w:type="dxa"/>
            <w:vMerge/>
          </w:tcPr>
          <w:p w:rsidR="00146ADB" w:rsidRPr="000E3B45" w:rsidRDefault="00146ADB" w:rsidP="000E3B45">
            <w:pPr>
              <w:jc w:val="both"/>
              <w:rPr>
                <w:color w:val="222222"/>
                <w:shd w:val="clear" w:color="auto" w:fill="FFFFFF"/>
                <w:lang w:val="id-ID"/>
              </w:rPr>
            </w:pPr>
          </w:p>
        </w:tc>
        <w:tc>
          <w:tcPr>
            <w:tcW w:w="1586" w:type="dxa"/>
          </w:tcPr>
          <w:p w:rsidR="00146ADB" w:rsidRDefault="00146ADB" w:rsidP="009645B3">
            <w:r w:rsidRPr="00555218">
              <w:t>Bank policies that support economic growth stimulus for debtors affected by the spread of COVID-19</w:t>
            </w:r>
          </w:p>
        </w:tc>
        <w:tc>
          <w:tcPr>
            <w:tcW w:w="4759" w:type="dxa"/>
          </w:tcPr>
          <w:p w:rsidR="00146ADB" w:rsidRPr="00146ADB"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Assessment of the quality of credit/financing/provision of other funds by banks based only on the prompt payment of principal and/or interest for loans up to Rp10 billion; and restructuring for all loans regardless of credit limit or type of debtor, including MSME</w:t>
            </w:r>
            <w:r>
              <w:rPr>
                <w:color w:val="222222"/>
                <w:shd w:val="clear" w:color="auto" w:fill="FFFFFF"/>
                <w:lang w:val="id-ID"/>
              </w:rPr>
              <w:t xml:space="preserve"> (UMKM)</w:t>
            </w:r>
            <w:r w:rsidRPr="00146ADB">
              <w:rPr>
                <w:color w:val="222222"/>
                <w:shd w:val="clear" w:color="auto" w:fill="FFFFFF"/>
                <w:lang w:val="id-ID"/>
              </w:rPr>
              <w:t xml:space="preserve"> debtors.</w:t>
            </w:r>
          </w:p>
          <w:p w:rsidR="00146ADB" w:rsidRPr="00146ADB"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For MSME debtors, credit quality/financing/other fund provision assessments are based on the accuracy of paying the principal and/or interest; and cr</w:t>
            </w:r>
            <w:r>
              <w:rPr>
                <w:color w:val="222222"/>
                <w:shd w:val="clear" w:color="auto" w:fill="FFFFFF"/>
                <w:lang w:val="id-ID"/>
              </w:rPr>
              <w:t>edit/financing restructuring.</w:t>
            </w:r>
          </w:p>
          <w:p w:rsidR="00146ADB" w:rsidRPr="000E3B45"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Other incentives for workers in the form of relaxation in the Program of the Employment Social Security Agency (Jamsostek) by supporting financial relaxation for the business world and providing stimulus.</w:t>
            </w:r>
          </w:p>
        </w:tc>
      </w:tr>
      <w:tr w:rsidR="003F5E1A" w:rsidRPr="000E3B45" w:rsidTr="007F704C">
        <w:tc>
          <w:tcPr>
            <w:tcW w:w="461" w:type="dxa"/>
          </w:tcPr>
          <w:p w:rsidR="003F5E1A" w:rsidRPr="000E3B45" w:rsidRDefault="00CE43F2" w:rsidP="00125BD7">
            <w:pPr>
              <w:jc w:val="center"/>
              <w:rPr>
                <w:color w:val="222222"/>
                <w:shd w:val="clear" w:color="auto" w:fill="FFFFFF"/>
                <w:lang w:val="id-ID"/>
              </w:rPr>
            </w:pPr>
            <w:r w:rsidRPr="000E3B45">
              <w:rPr>
                <w:color w:val="222222"/>
                <w:shd w:val="clear" w:color="auto" w:fill="FFFFFF"/>
                <w:lang w:val="id-ID"/>
              </w:rPr>
              <w:t>4</w:t>
            </w:r>
          </w:p>
        </w:tc>
        <w:tc>
          <w:tcPr>
            <w:tcW w:w="1807" w:type="dxa"/>
          </w:tcPr>
          <w:p w:rsidR="003F5E1A" w:rsidRPr="000E3B45" w:rsidRDefault="00146ADB" w:rsidP="000E3B45">
            <w:pPr>
              <w:jc w:val="both"/>
              <w:rPr>
                <w:color w:val="222222"/>
                <w:shd w:val="clear" w:color="auto" w:fill="FFFFFF"/>
                <w:lang w:val="id-ID"/>
              </w:rPr>
            </w:pPr>
            <w:r w:rsidRPr="00146ADB">
              <w:rPr>
                <w:color w:val="222222"/>
                <w:shd w:val="clear" w:color="auto" w:fill="FFFFFF"/>
                <w:lang w:val="id-ID"/>
              </w:rPr>
              <w:t>Food Policy</w:t>
            </w:r>
          </w:p>
        </w:tc>
        <w:tc>
          <w:tcPr>
            <w:tcW w:w="1586" w:type="dxa"/>
          </w:tcPr>
          <w:p w:rsidR="003F5E1A" w:rsidRPr="000E3B45" w:rsidRDefault="00146ADB" w:rsidP="000E3B45">
            <w:pPr>
              <w:jc w:val="both"/>
              <w:rPr>
                <w:color w:val="222222"/>
                <w:shd w:val="clear" w:color="auto" w:fill="FFFFFF"/>
                <w:lang w:val="id-ID"/>
              </w:rPr>
            </w:pPr>
            <w:r w:rsidRPr="00146ADB">
              <w:rPr>
                <w:color w:val="222222"/>
                <w:shd w:val="clear" w:color="auto" w:fill="FFFFFF"/>
                <w:lang w:val="id-ID"/>
              </w:rPr>
              <w:t xml:space="preserve">The government guarantees the availability of key and strategic </w:t>
            </w:r>
            <w:r w:rsidRPr="00146ADB">
              <w:rPr>
                <w:color w:val="222222"/>
                <w:shd w:val="clear" w:color="auto" w:fill="FFFFFF"/>
                <w:lang w:val="id-ID"/>
              </w:rPr>
              <w:lastRenderedPageBreak/>
              <w:t>food supplies for the population at affordable prices</w:t>
            </w:r>
          </w:p>
        </w:tc>
        <w:tc>
          <w:tcPr>
            <w:tcW w:w="4759" w:type="dxa"/>
          </w:tcPr>
          <w:p w:rsidR="00146ADB" w:rsidRPr="00146ADB"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lastRenderedPageBreak/>
              <w:t xml:space="preserve">11 main and strategic food commodities: rice, corn, shallots, large chili, cayenne pepper, chicken meat, chicken eggs, and cooking oil (domestic products), </w:t>
            </w:r>
            <w:r w:rsidRPr="00146ADB">
              <w:rPr>
                <w:color w:val="222222"/>
                <w:shd w:val="clear" w:color="auto" w:fill="FFFFFF"/>
                <w:lang w:val="id-ID"/>
              </w:rPr>
              <w:lastRenderedPageBreak/>
              <w:t>and garlic, beef/buffalo, granulated sugar (imported products ).</w:t>
            </w:r>
          </w:p>
          <w:p w:rsidR="00146ADB" w:rsidRPr="00146ADB"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Speed up the process of issuing recommendations for imported commodities that are affected by COVID-19 globally</w:t>
            </w:r>
          </w:p>
          <w:p w:rsidR="00CE43F2" w:rsidRPr="000E3B45" w:rsidRDefault="00146ADB" w:rsidP="00146ADB">
            <w:pPr>
              <w:numPr>
                <w:ilvl w:val="0"/>
                <w:numId w:val="42"/>
              </w:numPr>
              <w:ind w:left="149" w:hanging="142"/>
              <w:jc w:val="both"/>
              <w:rPr>
                <w:color w:val="222222"/>
                <w:shd w:val="clear" w:color="auto" w:fill="FFFFFF"/>
                <w:lang w:val="id-ID"/>
              </w:rPr>
            </w:pPr>
            <w:r w:rsidRPr="00146ADB">
              <w:rPr>
                <w:color w:val="222222"/>
                <w:shd w:val="clear" w:color="auto" w:fill="FFFFFF"/>
                <w:lang w:val="id-ID"/>
              </w:rPr>
              <w:t>Within a period of 6 months (March-August 2020)</w:t>
            </w:r>
            <w:r w:rsidR="00CE43F2" w:rsidRPr="000E3B45">
              <w:rPr>
                <w:color w:val="222222"/>
                <w:shd w:val="clear" w:color="auto" w:fill="FFFFFF"/>
                <w:lang w:val="id-ID"/>
              </w:rPr>
              <w:t>.</w:t>
            </w:r>
          </w:p>
        </w:tc>
      </w:tr>
    </w:tbl>
    <w:p w:rsidR="00A04BFF" w:rsidRDefault="00A04BFF" w:rsidP="00042772">
      <w:pPr>
        <w:jc w:val="both"/>
        <w:rPr>
          <w:bCs/>
          <w:sz w:val="24"/>
          <w:szCs w:val="24"/>
          <w:lang w:val="id-ID"/>
        </w:rPr>
      </w:pPr>
    </w:p>
    <w:p w:rsidR="00125BD7" w:rsidRPr="00897348" w:rsidRDefault="00125BD7" w:rsidP="00042772">
      <w:pPr>
        <w:jc w:val="both"/>
        <w:rPr>
          <w:bCs/>
          <w:sz w:val="24"/>
          <w:szCs w:val="24"/>
          <w:lang w:val="id-ID"/>
        </w:rPr>
      </w:pPr>
    </w:p>
    <w:p w:rsidR="00E56017" w:rsidRPr="00E56017" w:rsidRDefault="00E56017" w:rsidP="00E56017">
      <w:pPr>
        <w:ind w:firstLine="709"/>
        <w:jc w:val="both"/>
        <w:rPr>
          <w:bCs/>
          <w:sz w:val="24"/>
          <w:szCs w:val="24"/>
          <w:lang w:val="id-ID"/>
        </w:rPr>
      </w:pPr>
      <w:r w:rsidRPr="00E56017">
        <w:rPr>
          <w:bCs/>
          <w:sz w:val="24"/>
          <w:szCs w:val="24"/>
          <w:lang w:val="id-ID"/>
        </w:rPr>
        <w:t>Based on the above economic stimulus, the government only issued taxation policies on economic stimulus due to the impact of COVID-19 which was only given to the manufacturing and manufacturing industries, while other industrial sectors did not receive tax incentives even though earlier they were economically affected, such as the tourism sector, hospitality, aviation, and agency. Stimulation can be done by creating categories of employees and non-employees for all industrial sectors affected by the plague. In this case, there are two policy considerations: economic stimulus for all industrial sectors which has the consequence of adding to state revenues or prioritizing protection to the public.</w:t>
      </w:r>
    </w:p>
    <w:p w:rsidR="00E56017" w:rsidRPr="00E56017" w:rsidRDefault="00E56017" w:rsidP="00125BD7">
      <w:pPr>
        <w:ind w:firstLine="709"/>
        <w:jc w:val="both"/>
        <w:rPr>
          <w:bCs/>
          <w:sz w:val="24"/>
          <w:szCs w:val="24"/>
          <w:lang w:val="id-ID"/>
        </w:rPr>
      </w:pPr>
      <w:r w:rsidRPr="00E56017">
        <w:rPr>
          <w:bCs/>
          <w:sz w:val="24"/>
          <w:szCs w:val="24"/>
          <w:lang w:val="id-ID"/>
        </w:rPr>
        <w:t>In the context of maqasid</w:t>
      </w:r>
      <w:r w:rsidR="00125BD7">
        <w:rPr>
          <w:bCs/>
          <w:sz w:val="24"/>
          <w:szCs w:val="24"/>
          <w:lang w:val="id-ID"/>
        </w:rPr>
        <w:t xml:space="preserve"> </w:t>
      </w:r>
      <w:r w:rsidR="00125BD7" w:rsidRPr="00E56017">
        <w:rPr>
          <w:bCs/>
          <w:sz w:val="24"/>
          <w:szCs w:val="24"/>
          <w:lang w:val="id-ID"/>
        </w:rPr>
        <w:t>sharia</w:t>
      </w:r>
      <w:r w:rsidR="00125BD7">
        <w:rPr>
          <w:bCs/>
          <w:sz w:val="24"/>
          <w:szCs w:val="24"/>
          <w:lang w:val="id-ID"/>
        </w:rPr>
        <w:t>h</w:t>
      </w:r>
      <w:r w:rsidRPr="00E56017">
        <w:rPr>
          <w:bCs/>
          <w:sz w:val="24"/>
          <w:szCs w:val="24"/>
          <w:lang w:val="id-ID"/>
        </w:rPr>
        <w:t>, protecting everyone affected by COVID-19 must take precedence over other considerations. In the rules of fiqih it is stated that "dar’ al-mafasid muqaddamun ‘ala jalb al-masalih" (preventing damage or danger comes first rather than seeking benefits or goodness). Therefore, the economic stimulus is focused on meeting the basic needs of the community, for example in order to avoid the danger of hunger, so that to meet this, the government can implement a budget efficiency policy from all ministries and institutions, as well as an expenditure budget from other activities that can be postponed in the next fiscal year, such as infrastructure development.</w:t>
      </w:r>
    </w:p>
    <w:p w:rsidR="002721E1" w:rsidRPr="002721E1" w:rsidRDefault="00E56017" w:rsidP="00125BD7">
      <w:pPr>
        <w:ind w:firstLine="709"/>
        <w:jc w:val="both"/>
        <w:rPr>
          <w:bCs/>
          <w:sz w:val="24"/>
          <w:szCs w:val="24"/>
        </w:rPr>
      </w:pPr>
      <w:r w:rsidRPr="00E56017">
        <w:rPr>
          <w:bCs/>
          <w:sz w:val="24"/>
          <w:szCs w:val="24"/>
          <w:lang w:val="id-ID"/>
        </w:rPr>
        <w:t xml:space="preserve">Important government policies are also related to the implementation of the national economic recovery program in order to support the country's financial policies for handling the 2019 Corona Virus Disease </w:t>
      </w:r>
      <w:r w:rsidR="00125BD7">
        <w:rPr>
          <w:bCs/>
          <w:sz w:val="24"/>
          <w:szCs w:val="24"/>
          <w:lang w:val="id-ID"/>
        </w:rPr>
        <w:t>(COVID-19)</w:t>
      </w:r>
      <w:r w:rsidRPr="00E56017">
        <w:rPr>
          <w:bCs/>
          <w:sz w:val="24"/>
          <w:szCs w:val="24"/>
          <w:lang w:val="id-ID"/>
        </w:rPr>
        <w:t xml:space="preserve"> </w:t>
      </w:r>
      <w:r w:rsidR="00125BD7" w:rsidRPr="00E56017">
        <w:rPr>
          <w:bCs/>
          <w:sz w:val="24"/>
          <w:szCs w:val="24"/>
          <w:lang w:val="id-ID"/>
        </w:rPr>
        <w:t>pandemic</w:t>
      </w:r>
      <w:r w:rsidR="00125BD7">
        <w:rPr>
          <w:bCs/>
          <w:sz w:val="24"/>
          <w:szCs w:val="24"/>
          <w:lang w:val="id-ID"/>
        </w:rPr>
        <w:t>.</w:t>
      </w:r>
      <w:r w:rsidR="00125BD7" w:rsidRPr="00E56017">
        <w:rPr>
          <w:bCs/>
          <w:sz w:val="24"/>
          <w:szCs w:val="24"/>
          <w:lang w:val="id-ID"/>
        </w:rPr>
        <w:t xml:space="preserve"> </w:t>
      </w:r>
      <w:r w:rsidRPr="00E56017">
        <w:rPr>
          <w:bCs/>
          <w:sz w:val="24"/>
          <w:szCs w:val="24"/>
          <w:lang w:val="id-ID"/>
        </w:rPr>
        <w:t>This policy was issued by the government to deal with threats that endanger the national economy and/or financial system stability and save the national economy. The National Economic Recovery Program is a series of activities for the recovery of the national economy which is part of the country's financial policies implemented by the government to accelerate the handling of the COVID-19 pandemic and/or face threats that endanger the national economy and/or financial system stability and rescue national economy (</w:t>
      </w:r>
      <w:r>
        <w:rPr>
          <w:bCs/>
          <w:sz w:val="24"/>
          <w:szCs w:val="24"/>
          <w:lang w:val="id-ID"/>
        </w:rPr>
        <w:t>Kementerian Hukum dan HAM</w:t>
      </w:r>
      <w:r w:rsidRPr="00E56017">
        <w:rPr>
          <w:bCs/>
          <w:sz w:val="24"/>
          <w:szCs w:val="24"/>
          <w:lang w:val="id-ID"/>
        </w:rPr>
        <w:t xml:space="preserve">, 2020; Oktavira, 2020). In implementing this </w:t>
      </w:r>
      <w:r w:rsidR="00125BD7">
        <w:rPr>
          <w:bCs/>
          <w:sz w:val="24"/>
          <w:szCs w:val="24"/>
          <w:lang w:val="id-ID"/>
        </w:rPr>
        <w:t xml:space="preserve">the </w:t>
      </w:r>
      <w:r w:rsidR="00125BD7" w:rsidRPr="00E56017">
        <w:rPr>
          <w:bCs/>
          <w:sz w:val="24"/>
          <w:szCs w:val="24"/>
          <w:lang w:val="id-ID"/>
        </w:rPr>
        <w:t>National Economic Recovery Program</w:t>
      </w:r>
      <w:r w:rsidRPr="00E56017">
        <w:rPr>
          <w:bCs/>
          <w:sz w:val="24"/>
          <w:szCs w:val="24"/>
          <w:lang w:val="id-ID"/>
        </w:rPr>
        <w:t xml:space="preserve"> program, the government can carry out state investment, placement of funds, government investment, and/or guarantees</w:t>
      </w:r>
      <w:r w:rsidR="002721E1" w:rsidRPr="002721E1">
        <w:rPr>
          <w:bCs/>
          <w:sz w:val="24"/>
          <w:szCs w:val="24"/>
        </w:rPr>
        <w:t>.</w:t>
      </w:r>
    </w:p>
    <w:p w:rsidR="00C41CD1" w:rsidRDefault="002721E1" w:rsidP="002721E1">
      <w:pPr>
        <w:ind w:firstLine="709"/>
        <w:rPr>
          <w:bCs/>
          <w:sz w:val="24"/>
          <w:szCs w:val="24"/>
          <w:lang w:val="id-ID"/>
        </w:rPr>
      </w:pPr>
      <w:r w:rsidRPr="002721E1">
        <w:rPr>
          <w:bCs/>
          <w:sz w:val="24"/>
          <w:szCs w:val="24"/>
        </w:rPr>
        <w:t xml:space="preserve"> </w:t>
      </w:r>
    </w:p>
    <w:p w:rsidR="00F04A69" w:rsidRPr="00460730" w:rsidRDefault="00976113" w:rsidP="000D6419">
      <w:pPr>
        <w:jc w:val="both"/>
        <w:rPr>
          <w:b/>
          <w:bCs/>
          <w:sz w:val="24"/>
          <w:szCs w:val="24"/>
        </w:rPr>
      </w:pPr>
      <w:r>
        <w:rPr>
          <w:b/>
          <w:bCs/>
          <w:sz w:val="24"/>
          <w:szCs w:val="24"/>
          <w:lang w:val="id-ID"/>
        </w:rPr>
        <w:t xml:space="preserve">F. </w:t>
      </w:r>
      <w:r w:rsidR="00F04A69" w:rsidRPr="00460730">
        <w:rPr>
          <w:b/>
          <w:bCs/>
          <w:sz w:val="24"/>
          <w:szCs w:val="24"/>
        </w:rPr>
        <w:t>Conclusion</w:t>
      </w:r>
    </w:p>
    <w:p w:rsidR="00D6780D" w:rsidRPr="00460730" w:rsidRDefault="00E56017" w:rsidP="00FC1A08">
      <w:pPr>
        <w:ind w:firstLine="720"/>
        <w:jc w:val="both"/>
        <w:rPr>
          <w:bCs/>
          <w:sz w:val="24"/>
          <w:szCs w:val="24"/>
          <w:lang w:val="id-ID"/>
        </w:rPr>
      </w:pPr>
      <w:r w:rsidRPr="00E56017">
        <w:rPr>
          <w:bCs/>
          <w:sz w:val="24"/>
          <w:szCs w:val="24"/>
          <w:lang w:val="id-ID"/>
        </w:rPr>
        <w:t>The rapid spread of the COVID-19 pandemic could have an economic impact that could lead to a recession and a global economic crisis. The Government of Indonesia has issued a policy in handling this epidemic through the management of public finances that are diverted in the form of fulfilling health infrastructure and economic stimulus that can help the community to survive, as well as economic activities, can be carried out to meet their main and strategic needs. Along with policies to reduce the spread of disease, the government has relocated public budgets in the form of fiscal and non-fiscal stimulus to meet the needs of the community by taking into account the main needs and strategies aimed at making this outbreak well-managed and the community can survive to return to work in meeting their needs after this outbreak ends.</w:t>
      </w:r>
      <w:r w:rsidR="00733B8B">
        <w:rPr>
          <w:bCs/>
          <w:sz w:val="24"/>
          <w:szCs w:val="24"/>
          <w:lang w:val="id-ID"/>
        </w:rPr>
        <w:t xml:space="preserve"> </w:t>
      </w:r>
    </w:p>
    <w:p w:rsidR="00F04A69" w:rsidRPr="00460730" w:rsidRDefault="00F04A69" w:rsidP="0057347C">
      <w:pPr>
        <w:jc w:val="both"/>
        <w:rPr>
          <w:b/>
          <w:bCs/>
          <w:sz w:val="24"/>
          <w:szCs w:val="24"/>
          <w:lang w:val="id-ID"/>
        </w:rPr>
      </w:pPr>
    </w:p>
    <w:p w:rsidR="00125BD7" w:rsidRDefault="00125BD7" w:rsidP="00166BD3">
      <w:pPr>
        <w:jc w:val="both"/>
        <w:rPr>
          <w:b/>
          <w:bCs/>
          <w:color w:val="222222"/>
          <w:sz w:val="24"/>
          <w:szCs w:val="24"/>
          <w:shd w:val="clear" w:color="auto" w:fill="FFFFFF"/>
          <w:lang w:val="id-ID"/>
        </w:rPr>
      </w:pPr>
    </w:p>
    <w:p w:rsidR="00166BD3" w:rsidRPr="00433CF6" w:rsidRDefault="00125BD7" w:rsidP="00166BD3">
      <w:pPr>
        <w:jc w:val="both"/>
        <w:rPr>
          <w:b/>
          <w:bCs/>
          <w:color w:val="222222"/>
          <w:sz w:val="24"/>
          <w:szCs w:val="24"/>
          <w:shd w:val="clear" w:color="auto" w:fill="FFFFFF"/>
          <w:lang w:val="id-ID"/>
        </w:rPr>
      </w:pPr>
      <w:r>
        <w:rPr>
          <w:b/>
          <w:bCs/>
          <w:color w:val="222222"/>
          <w:sz w:val="24"/>
          <w:szCs w:val="24"/>
          <w:shd w:val="clear" w:color="auto" w:fill="FFFFFF"/>
          <w:lang w:val="id-ID"/>
        </w:rPr>
        <w:lastRenderedPageBreak/>
        <w:t>References</w:t>
      </w:r>
    </w:p>
    <w:p w:rsidR="00E830CB" w:rsidRPr="00EA2D19" w:rsidRDefault="00E830CB" w:rsidP="00984DE0">
      <w:pPr>
        <w:autoSpaceDE w:val="0"/>
        <w:autoSpaceDN w:val="0"/>
        <w:adjustRightInd w:val="0"/>
        <w:ind w:left="567" w:hanging="567"/>
        <w:jc w:val="both"/>
        <w:rPr>
          <w:sz w:val="24"/>
          <w:szCs w:val="24"/>
          <w:lang w:val="id-ID"/>
        </w:rPr>
      </w:pPr>
      <w:r w:rsidRPr="00EA2D19">
        <w:rPr>
          <w:sz w:val="24"/>
          <w:szCs w:val="24"/>
        </w:rPr>
        <w:t>Ahir, H., Bloom,</w:t>
      </w:r>
      <w:r w:rsidRPr="00EA2D19">
        <w:rPr>
          <w:sz w:val="24"/>
          <w:szCs w:val="24"/>
          <w:lang w:val="id-ID"/>
        </w:rPr>
        <w:t xml:space="preserve"> N., &amp;</w:t>
      </w:r>
      <w:r w:rsidRPr="00EA2D19">
        <w:rPr>
          <w:sz w:val="24"/>
          <w:szCs w:val="24"/>
        </w:rPr>
        <w:t xml:space="preserve"> Furceri</w:t>
      </w:r>
      <w:r w:rsidRPr="00EA2D19">
        <w:rPr>
          <w:sz w:val="24"/>
          <w:szCs w:val="24"/>
          <w:lang w:val="id-ID"/>
        </w:rPr>
        <w:t>, D</w:t>
      </w:r>
      <w:r w:rsidRPr="00EA2D19">
        <w:rPr>
          <w:sz w:val="24"/>
          <w:szCs w:val="24"/>
        </w:rPr>
        <w:t xml:space="preserve">.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The World Uncertainty Index. Accompanying text and data. </w:t>
      </w:r>
      <w:r w:rsidRPr="00EA2D19">
        <w:rPr>
          <w:sz w:val="24"/>
          <w:szCs w:val="24"/>
          <w:lang w:val="id-ID"/>
        </w:rPr>
        <w:t xml:space="preserve">Available at: </w:t>
      </w:r>
      <w:hyperlink r:id="rId14" w:history="1">
        <w:r w:rsidRPr="00EA2D19">
          <w:rPr>
            <w:rStyle w:val="Hyperlink"/>
            <w:sz w:val="24"/>
            <w:szCs w:val="24"/>
          </w:rPr>
          <w:t>https://www.policyuncertainty.com/wui_quarterly.html</w:t>
        </w:r>
      </w:hyperlink>
      <w:r w:rsidRPr="00EA2D19">
        <w:rPr>
          <w:sz w:val="24"/>
          <w:szCs w:val="24"/>
          <w:lang w:val="id-ID"/>
        </w:rPr>
        <w:t>.</w:t>
      </w:r>
    </w:p>
    <w:p w:rsidR="00E830CB" w:rsidRPr="00EA2D19" w:rsidRDefault="00E830CB" w:rsidP="00150F0A">
      <w:pPr>
        <w:autoSpaceDE w:val="0"/>
        <w:autoSpaceDN w:val="0"/>
        <w:adjustRightInd w:val="0"/>
        <w:ind w:left="567" w:hanging="567"/>
        <w:jc w:val="both"/>
        <w:rPr>
          <w:sz w:val="24"/>
          <w:szCs w:val="24"/>
          <w:lang w:val="id-ID"/>
        </w:rPr>
      </w:pPr>
      <w:r>
        <w:rPr>
          <w:sz w:val="24"/>
          <w:szCs w:val="24"/>
          <w:lang w:val="id-ID"/>
        </w:rPr>
        <w:t>Al-</w:t>
      </w:r>
      <w:r w:rsidRPr="00EA2D19">
        <w:rPr>
          <w:sz w:val="24"/>
          <w:szCs w:val="24"/>
        </w:rPr>
        <w:t>Mawardi, A</w:t>
      </w:r>
      <w:r w:rsidRPr="00EA2D19">
        <w:rPr>
          <w:sz w:val="24"/>
          <w:szCs w:val="24"/>
          <w:lang w:val="id-ID"/>
        </w:rPr>
        <w:t xml:space="preserve">.H.A. (1983). </w:t>
      </w:r>
      <w:r w:rsidRPr="00EA2D19">
        <w:rPr>
          <w:i/>
          <w:iCs/>
          <w:sz w:val="24"/>
          <w:szCs w:val="24"/>
        </w:rPr>
        <w:t>Nas</w:t>
      </w:r>
      <w:r w:rsidRPr="00EA2D19">
        <w:rPr>
          <w:i/>
          <w:iCs/>
          <w:sz w:val="24"/>
          <w:szCs w:val="24"/>
          <w:lang w:val="id-ID"/>
        </w:rPr>
        <w:t>h</w:t>
      </w:r>
      <w:r w:rsidRPr="00EA2D19">
        <w:rPr>
          <w:i/>
          <w:iCs/>
          <w:sz w:val="24"/>
          <w:szCs w:val="24"/>
        </w:rPr>
        <w:t>ihah al-</w:t>
      </w:r>
      <w:r w:rsidRPr="00EA2D19">
        <w:rPr>
          <w:i/>
          <w:iCs/>
          <w:sz w:val="24"/>
          <w:szCs w:val="24"/>
          <w:lang w:val="id-ID"/>
        </w:rPr>
        <w:t>M</w:t>
      </w:r>
      <w:r w:rsidRPr="00EA2D19">
        <w:rPr>
          <w:i/>
          <w:iCs/>
          <w:sz w:val="24"/>
          <w:szCs w:val="24"/>
        </w:rPr>
        <w:t xml:space="preserve">uluk. </w:t>
      </w:r>
      <w:r w:rsidRPr="00EA2D19">
        <w:rPr>
          <w:sz w:val="24"/>
          <w:szCs w:val="24"/>
        </w:rPr>
        <w:t>Kuwait: Maktabah al-Fallah</w:t>
      </w:r>
      <w:r w:rsidRPr="00EA2D19">
        <w:rPr>
          <w:sz w:val="24"/>
          <w:szCs w:val="24"/>
          <w:lang w:val="id-ID"/>
        </w:rPr>
        <w:t>.</w:t>
      </w:r>
    </w:p>
    <w:p w:rsidR="00E830CB" w:rsidRDefault="00E830CB" w:rsidP="00150F0A">
      <w:pPr>
        <w:autoSpaceDE w:val="0"/>
        <w:autoSpaceDN w:val="0"/>
        <w:adjustRightInd w:val="0"/>
        <w:ind w:left="567" w:hanging="567"/>
        <w:jc w:val="both"/>
        <w:rPr>
          <w:i/>
          <w:iCs/>
          <w:sz w:val="24"/>
          <w:szCs w:val="24"/>
          <w:lang w:val="id-ID"/>
        </w:rPr>
      </w:pPr>
      <w:r>
        <w:rPr>
          <w:sz w:val="24"/>
          <w:szCs w:val="24"/>
          <w:lang w:val="id-ID"/>
        </w:rPr>
        <w:t>Al-</w:t>
      </w:r>
      <w:r w:rsidRPr="00EA2D19">
        <w:rPr>
          <w:sz w:val="24"/>
          <w:szCs w:val="24"/>
          <w:lang w:val="id-ID"/>
        </w:rPr>
        <w:t xml:space="preserve">Mawardi, A.H.A. (1996). </w:t>
      </w:r>
      <w:r w:rsidRPr="00EA2D19">
        <w:rPr>
          <w:i/>
          <w:iCs/>
          <w:sz w:val="24"/>
          <w:szCs w:val="24"/>
        </w:rPr>
        <w:t>Al-</w:t>
      </w:r>
      <w:r w:rsidRPr="00EA2D19">
        <w:rPr>
          <w:i/>
          <w:iCs/>
          <w:sz w:val="24"/>
          <w:szCs w:val="24"/>
          <w:lang w:val="id-ID"/>
        </w:rPr>
        <w:t>A</w:t>
      </w:r>
      <w:r w:rsidRPr="00EA2D19">
        <w:rPr>
          <w:i/>
          <w:iCs/>
          <w:sz w:val="24"/>
          <w:szCs w:val="24"/>
        </w:rPr>
        <w:t>hkam al-</w:t>
      </w:r>
      <w:r w:rsidRPr="00EA2D19">
        <w:rPr>
          <w:i/>
          <w:iCs/>
          <w:sz w:val="24"/>
          <w:szCs w:val="24"/>
          <w:lang w:val="id-ID"/>
        </w:rPr>
        <w:t>S</w:t>
      </w:r>
      <w:r w:rsidRPr="00EA2D19">
        <w:rPr>
          <w:i/>
          <w:iCs/>
          <w:sz w:val="24"/>
          <w:szCs w:val="24"/>
        </w:rPr>
        <w:t>ult</w:t>
      </w:r>
      <w:r w:rsidRPr="00EA2D19">
        <w:rPr>
          <w:i/>
          <w:iCs/>
          <w:sz w:val="24"/>
          <w:szCs w:val="24"/>
          <w:lang w:val="id-ID"/>
        </w:rPr>
        <w:t>h</w:t>
      </w:r>
      <w:r w:rsidRPr="00EA2D19">
        <w:rPr>
          <w:i/>
          <w:iCs/>
          <w:sz w:val="24"/>
          <w:szCs w:val="24"/>
        </w:rPr>
        <w:t>aniyah wa-</w:t>
      </w:r>
      <w:r w:rsidRPr="00EA2D19">
        <w:rPr>
          <w:i/>
          <w:iCs/>
          <w:sz w:val="24"/>
          <w:szCs w:val="24"/>
          <w:lang w:val="id-ID"/>
        </w:rPr>
        <w:t>W</w:t>
      </w:r>
      <w:r w:rsidRPr="00EA2D19">
        <w:rPr>
          <w:i/>
          <w:iCs/>
          <w:sz w:val="24"/>
          <w:szCs w:val="24"/>
        </w:rPr>
        <w:t>ilayat al-</w:t>
      </w:r>
      <w:r w:rsidRPr="00EA2D19">
        <w:rPr>
          <w:i/>
          <w:iCs/>
          <w:sz w:val="24"/>
          <w:szCs w:val="24"/>
          <w:lang w:val="id-ID"/>
        </w:rPr>
        <w:t>D</w:t>
      </w:r>
      <w:r w:rsidRPr="00EA2D19">
        <w:rPr>
          <w:i/>
          <w:iCs/>
          <w:sz w:val="24"/>
          <w:szCs w:val="24"/>
        </w:rPr>
        <w:t>iniyah</w:t>
      </w:r>
      <w:r w:rsidRPr="00EA2D19">
        <w:rPr>
          <w:i/>
          <w:sz w:val="24"/>
          <w:szCs w:val="24"/>
        </w:rPr>
        <w:t xml:space="preserve">. </w:t>
      </w:r>
      <w:r w:rsidRPr="00EA2D19">
        <w:rPr>
          <w:sz w:val="24"/>
          <w:szCs w:val="24"/>
        </w:rPr>
        <w:t>Beirut: Dar al-Fikr.</w:t>
      </w:r>
    </w:p>
    <w:p w:rsidR="00E830CB" w:rsidRDefault="00E830CB" w:rsidP="00150F0A">
      <w:pPr>
        <w:autoSpaceDE w:val="0"/>
        <w:autoSpaceDN w:val="0"/>
        <w:adjustRightInd w:val="0"/>
        <w:ind w:left="567" w:hanging="567"/>
        <w:jc w:val="both"/>
        <w:rPr>
          <w:color w:val="222222"/>
          <w:sz w:val="24"/>
          <w:szCs w:val="24"/>
          <w:highlight w:val="cyan"/>
          <w:shd w:val="clear" w:color="auto" w:fill="FFFFFF"/>
          <w:lang w:val="id-ID"/>
        </w:rPr>
      </w:pPr>
      <w:r>
        <w:rPr>
          <w:sz w:val="24"/>
          <w:szCs w:val="24"/>
          <w:lang w:val="id-ID"/>
        </w:rPr>
        <w:t>Al-Sy</w:t>
      </w:r>
      <w:r w:rsidRPr="00EA2D19">
        <w:rPr>
          <w:sz w:val="24"/>
          <w:szCs w:val="24"/>
          <w:lang w:val="id-ID"/>
        </w:rPr>
        <w:t>atibi</w:t>
      </w:r>
      <w:r>
        <w:rPr>
          <w:sz w:val="24"/>
          <w:szCs w:val="24"/>
          <w:lang w:val="id-ID"/>
        </w:rPr>
        <w:t xml:space="preserve">. </w:t>
      </w:r>
      <w:r w:rsidRPr="00EA2D19">
        <w:rPr>
          <w:sz w:val="24"/>
          <w:szCs w:val="24"/>
          <w:lang w:val="id-ID"/>
        </w:rPr>
        <w:t>(1975)</w:t>
      </w:r>
      <w:r w:rsidRPr="00EA2D19">
        <w:rPr>
          <w:sz w:val="24"/>
          <w:szCs w:val="24"/>
          <w:lang w:val="es-ES"/>
        </w:rPr>
        <w:t xml:space="preserve">. </w:t>
      </w:r>
      <w:r w:rsidRPr="00EA2D19">
        <w:rPr>
          <w:i/>
          <w:iCs/>
          <w:sz w:val="24"/>
          <w:szCs w:val="24"/>
          <w:lang w:val="id-ID"/>
        </w:rPr>
        <w:t>A</w:t>
      </w:r>
      <w:r w:rsidRPr="00EA2D19">
        <w:rPr>
          <w:i/>
          <w:iCs/>
          <w:sz w:val="24"/>
          <w:szCs w:val="24"/>
          <w:lang w:val="es-ES"/>
        </w:rPr>
        <w:t>l-Muwafaqat fi Us</w:t>
      </w:r>
      <w:r w:rsidRPr="00EA2D19">
        <w:rPr>
          <w:i/>
          <w:iCs/>
          <w:sz w:val="24"/>
          <w:szCs w:val="24"/>
          <w:lang w:val="id-ID"/>
        </w:rPr>
        <w:t>hu</w:t>
      </w:r>
      <w:r w:rsidRPr="00EA2D19">
        <w:rPr>
          <w:i/>
          <w:iCs/>
          <w:sz w:val="24"/>
          <w:szCs w:val="24"/>
          <w:lang w:val="es-ES"/>
        </w:rPr>
        <w:t>l al-S</w:t>
      </w:r>
      <w:r w:rsidRPr="00EA2D19">
        <w:rPr>
          <w:i/>
          <w:iCs/>
          <w:sz w:val="24"/>
          <w:szCs w:val="24"/>
          <w:lang w:val="id-ID"/>
        </w:rPr>
        <w:t>y</w:t>
      </w:r>
      <w:r w:rsidRPr="00EA2D19">
        <w:rPr>
          <w:i/>
          <w:iCs/>
          <w:sz w:val="24"/>
          <w:szCs w:val="24"/>
          <w:lang w:val="es-ES"/>
        </w:rPr>
        <w:t xml:space="preserve">ari‘ah. </w:t>
      </w:r>
      <w:r w:rsidRPr="00EA2D19">
        <w:rPr>
          <w:sz w:val="24"/>
          <w:szCs w:val="24"/>
          <w:lang w:val="es-ES"/>
        </w:rPr>
        <w:t>Cairo: al-Maktabah al-Tijaniyah al-Kubra</w:t>
      </w:r>
      <w:r w:rsidRPr="00EA2D19">
        <w:rPr>
          <w:sz w:val="24"/>
          <w:szCs w:val="24"/>
          <w:lang w:val="id-ID"/>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Alvarez, F. E., Argente, D., &amp; Lippi, F. (2020). </w:t>
      </w:r>
      <w:r w:rsidRPr="00EA2D19">
        <w:rPr>
          <w:i/>
          <w:iCs/>
          <w:color w:val="222222"/>
          <w:sz w:val="24"/>
          <w:szCs w:val="24"/>
          <w:shd w:val="clear" w:color="auto" w:fill="FFFFFF"/>
          <w:lang w:val="id-ID"/>
        </w:rPr>
        <w:t>A simple planning problem for covid-19 lockdown</w:t>
      </w:r>
      <w:r w:rsidRPr="00EA2D19">
        <w:rPr>
          <w:color w:val="222222"/>
          <w:sz w:val="24"/>
          <w:szCs w:val="24"/>
          <w:shd w:val="clear" w:color="auto" w:fill="FFFFFF"/>
          <w:lang w:val="id-ID"/>
        </w:rPr>
        <w:t xml:space="preserve"> (No. w26981). National Bureau of Economic Research. DOI: </w:t>
      </w:r>
      <w:hyperlink r:id="rId15" w:history="1">
        <w:r w:rsidRPr="008B378B">
          <w:rPr>
            <w:rStyle w:val="Hyperlink"/>
            <w:sz w:val="24"/>
            <w:szCs w:val="24"/>
            <w:shd w:val="clear" w:color="auto" w:fill="FFFFFF"/>
            <w:lang w:val="id-ID"/>
          </w:rPr>
          <w:t>https://doi.org/10.3386/w26981</w:t>
        </w:r>
      </w:hyperlink>
      <w:r w:rsidRPr="00EA2D19">
        <w:rPr>
          <w:color w:val="222222"/>
          <w:sz w:val="24"/>
          <w:szCs w:val="24"/>
          <w:shd w:val="clear" w:color="auto" w:fill="FFFFFF"/>
          <w:lang w:val="id-ID"/>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Anderson, R. M., Heesterbeek, H., Klinkenberg, D., &amp; Hollingsworth, T. D. (2020). How will country-based mitigation measures influence the course of the COVID-19 epidemic?. </w:t>
      </w:r>
      <w:r w:rsidRPr="00EA2D19">
        <w:rPr>
          <w:i/>
          <w:iCs/>
          <w:color w:val="222222"/>
          <w:sz w:val="24"/>
          <w:szCs w:val="24"/>
          <w:shd w:val="clear" w:color="auto" w:fill="FFFFFF"/>
          <w:lang w:val="id-ID"/>
        </w:rPr>
        <w:t>The Lancet</w:t>
      </w:r>
      <w:r w:rsidRPr="00EA2D19">
        <w:rPr>
          <w:color w:val="222222"/>
          <w:sz w:val="24"/>
          <w:szCs w:val="24"/>
          <w:shd w:val="clear" w:color="auto" w:fill="FFFFFF"/>
          <w:lang w:val="id-ID"/>
        </w:rPr>
        <w:t xml:space="preserve">, 395(10228), 931-934. DOI: </w:t>
      </w:r>
      <w:hyperlink r:id="rId16" w:history="1">
        <w:r w:rsidRPr="00EA2D19">
          <w:rPr>
            <w:rStyle w:val="Hyperlink"/>
            <w:sz w:val="24"/>
            <w:szCs w:val="24"/>
            <w:shd w:val="clear" w:color="auto" w:fill="FFFFFF"/>
            <w:lang w:val="id-ID"/>
          </w:rPr>
          <w:t>https://doi.org/10.1016/S0140-6736(20)30567-5</w:t>
        </w:r>
      </w:hyperlink>
      <w:r w:rsidRPr="00EA2D19">
        <w:rPr>
          <w:color w:val="222222"/>
          <w:sz w:val="24"/>
          <w:szCs w:val="24"/>
          <w:shd w:val="clear" w:color="auto" w:fill="FFFFFF"/>
          <w:lang w:val="id-ID"/>
        </w:rPr>
        <w:t>.</w:t>
      </w:r>
    </w:p>
    <w:p w:rsidR="00E830CB" w:rsidRPr="00EA2D19" w:rsidRDefault="00E830CB" w:rsidP="00FE600A">
      <w:pPr>
        <w:pStyle w:val="TeksCatatanKaki"/>
        <w:ind w:left="567" w:hanging="567"/>
        <w:jc w:val="both"/>
        <w:rPr>
          <w:sz w:val="24"/>
          <w:szCs w:val="24"/>
          <w:lang w:val="id-ID"/>
        </w:rPr>
      </w:pPr>
      <w:r w:rsidRPr="00EA2D19">
        <w:rPr>
          <w:sz w:val="24"/>
          <w:szCs w:val="24"/>
          <w:lang w:val="id-ID"/>
        </w:rPr>
        <w:t xml:space="preserve">Arsjad, </w:t>
      </w:r>
      <w:r w:rsidRPr="00EA2D19">
        <w:rPr>
          <w:sz w:val="24"/>
          <w:szCs w:val="24"/>
        </w:rPr>
        <w:t>N</w:t>
      </w:r>
      <w:r w:rsidRPr="00EA2D19">
        <w:rPr>
          <w:sz w:val="24"/>
          <w:szCs w:val="24"/>
          <w:lang w:val="id-ID"/>
        </w:rPr>
        <w:t xml:space="preserve">. et al. (1992). </w:t>
      </w:r>
      <w:r w:rsidRPr="00EA2D19">
        <w:rPr>
          <w:i/>
          <w:iCs/>
          <w:sz w:val="24"/>
          <w:szCs w:val="24"/>
          <w:lang w:val="id-ID"/>
        </w:rPr>
        <w:t>Public Finance.</w:t>
      </w:r>
      <w:r w:rsidRPr="00EA2D19">
        <w:rPr>
          <w:sz w:val="24"/>
          <w:szCs w:val="24"/>
        </w:rPr>
        <w:t xml:space="preserve"> Jakarta: Intermedia</w:t>
      </w:r>
      <w:r w:rsidRPr="00EA2D19">
        <w:rPr>
          <w:sz w:val="24"/>
          <w:szCs w:val="24"/>
          <w:lang w:val="id-ID"/>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Atkeson, A. (2020). What will be the economic impact of covid-19 in the us? rough estimates of disease scenarios (No. w26867). National Bureau of Economic Research. DOI: </w:t>
      </w:r>
      <w:hyperlink r:id="rId17" w:history="1">
        <w:r w:rsidRPr="00EA2D19">
          <w:rPr>
            <w:rStyle w:val="Hyperlink"/>
            <w:sz w:val="24"/>
            <w:szCs w:val="24"/>
            <w:shd w:val="clear" w:color="auto" w:fill="FFFFFF"/>
            <w:lang w:val="id-ID"/>
          </w:rPr>
          <w:t>https://doi.org/10.3386/w26867</w:t>
        </w:r>
      </w:hyperlink>
      <w:r w:rsidRPr="00EA2D19">
        <w:rPr>
          <w:color w:val="222222"/>
          <w:sz w:val="24"/>
          <w:szCs w:val="24"/>
          <w:shd w:val="clear" w:color="auto" w:fill="FFFFFF"/>
          <w:lang w:val="id-ID"/>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Baker, S. R., Bloom, N., Davis, S. J., &amp; Terry, S. J. (2020). </w:t>
      </w:r>
      <w:r w:rsidRPr="00EA2D19">
        <w:rPr>
          <w:i/>
          <w:iCs/>
          <w:color w:val="222222"/>
          <w:sz w:val="24"/>
          <w:szCs w:val="24"/>
          <w:shd w:val="clear" w:color="auto" w:fill="FFFFFF"/>
          <w:lang w:val="id-ID"/>
        </w:rPr>
        <w:t>Covid-induced economic uncertainty</w:t>
      </w:r>
      <w:r w:rsidRPr="00EA2D19">
        <w:rPr>
          <w:color w:val="222222"/>
          <w:sz w:val="24"/>
          <w:szCs w:val="24"/>
          <w:shd w:val="clear" w:color="auto" w:fill="FFFFFF"/>
          <w:lang w:val="id-ID"/>
        </w:rPr>
        <w:t xml:space="preserve"> (No. w26983). National Bureau of Economic Research. DOI: </w:t>
      </w:r>
      <w:hyperlink r:id="rId18" w:history="1">
        <w:r w:rsidR="00150F0A" w:rsidRPr="008B378B">
          <w:rPr>
            <w:rStyle w:val="Hyperlink"/>
            <w:sz w:val="24"/>
            <w:szCs w:val="24"/>
            <w:shd w:val="clear" w:color="auto" w:fill="FFFFFF"/>
            <w:lang w:val="id-ID"/>
          </w:rPr>
          <w:t>https://doi.org/10.3386/w26983</w:t>
        </w:r>
      </w:hyperlink>
      <w:r w:rsidRPr="00EA2D19">
        <w:rPr>
          <w:color w:val="222222"/>
          <w:sz w:val="24"/>
          <w:szCs w:val="24"/>
          <w:shd w:val="clear" w:color="auto" w:fill="FFFFFF"/>
          <w:lang w:val="id-ID"/>
        </w:rPr>
        <w:t>.</w:t>
      </w:r>
    </w:p>
    <w:p w:rsidR="00E830CB" w:rsidRPr="00EA2D19" w:rsidRDefault="00E830CB" w:rsidP="00984DE0">
      <w:pPr>
        <w:autoSpaceDE w:val="0"/>
        <w:autoSpaceDN w:val="0"/>
        <w:adjustRightInd w:val="0"/>
        <w:ind w:left="567" w:hanging="567"/>
        <w:jc w:val="both"/>
        <w:rPr>
          <w:sz w:val="24"/>
          <w:szCs w:val="24"/>
        </w:rPr>
      </w:pPr>
      <w:r w:rsidRPr="00EA2D19">
        <w:rPr>
          <w:sz w:val="24"/>
          <w:szCs w:val="24"/>
        </w:rPr>
        <w:t>Baker, S. R., Boom,</w:t>
      </w:r>
      <w:r w:rsidRPr="00EA2D19">
        <w:rPr>
          <w:sz w:val="24"/>
          <w:szCs w:val="24"/>
          <w:lang w:val="id-ID"/>
        </w:rPr>
        <w:t xml:space="preserve"> N., &amp;</w:t>
      </w:r>
      <w:r w:rsidRPr="00EA2D19">
        <w:rPr>
          <w:sz w:val="24"/>
          <w:szCs w:val="24"/>
        </w:rPr>
        <w:t xml:space="preserve"> Davis</w:t>
      </w:r>
      <w:r w:rsidRPr="00EA2D19">
        <w:rPr>
          <w:sz w:val="24"/>
          <w:szCs w:val="24"/>
          <w:lang w:val="id-ID"/>
        </w:rPr>
        <w:t>, S.J</w:t>
      </w:r>
      <w:r w:rsidRPr="00EA2D19">
        <w:rPr>
          <w:sz w:val="24"/>
          <w:szCs w:val="24"/>
        </w:rPr>
        <w:t xml:space="preserve">.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w:t>
      </w:r>
      <w:r w:rsidRPr="00EA2D19">
        <w:rPr>
          <w:sz w:val="24"/>
          <w:szCs w:val="24"/>
          <w:lang w:val="id-ID"/>
        </w:rPr>
        <w:t xml:space="preserve"> </w:t>
      </w:r>
      <w:r w:rsidRPr="00EA2D19">
        <w:rPr>
          <w:sz w:val="24"/>
          <w:szCs w:val="24"/>
        </w:rPr>
        <w:t xml:space="preserve">Measuring Economic Policy Uncertainty. Accompanying text and data. </w:t>
      </w:r>
      <w:r w:rsidRPr="00EA2D19">
        <w:rPr>
          <w:sz w:val="24"/>
          <w:szCs w:val="24"/>
          <w:lang w:val="id-ID"/>
        </w:rPr>
        <w:t xml:space="preserve">Available at: </w:t>
      </w:r>
      <w:hyperlink r:id="rId19" w:history="1">
        <w:r w:rsidRPr="00EA2D19">
          <w:rPr>
            <w:rStyle w:val="Hyperlink"/>
            <w:sz w:val="24"/>
            <w:szCs w:val="24"/>
          </w:rPr>
          <w:t>https://www.policyuncertainty.com/global_monthly.html</w:t>
        </w:r>
      </w:hyperlink>
      <w:r w:rsidRPr="00EA2D19">
        <w:rPr>
          <w:sz w:val="24"/>
          <w:szCs w:val="24"/>
        </w:rPr>
        <w:t>.</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Bénassy-Quéré, A., Marimon,</w:t>
      </w:r>
      <w:r w:rsidRPr="00EA2D19">
        <w:rPr>
          <w:sz w:val="24"/>
          <w:szCs w:val="24"/>
          <w:lang w:val="id-ID"/>
        </w:rPr>
        <w:t xml:space="preserve"> R., </w:t>
      </w:r>
      <w:r w:rsidRPr="00EA2D19">
        <w:rPr>
          <w:sz w:val="24"/>
          <w:szCs w:val="24"/>
        </w:rPr>
        <w:t>Pisani-Ferry</w:t>
      </w:r>
      <w:r w:rsidRPr="00EA2D19">
        <w:rPr>
          <w:sz w:val="24"/>
          <w:szCs w:val="24"/>
          <w:lang w:val="id-ID"/>
        </w:rPr>
        <w:t>, R.</w:t>
      </w:r>
      <w:r w:rsidRPr="00EA2D19">
        <w:rPr>
          <w:sz w:val="24"/>
          <w:szCs w:val="24"/>
        </w:rPr>
        <w:t>, Reichlin,</w:t>
      </w:r>
      <w:r w:rsidRPr="00EA2D19">
        <w:rPr>
          <w:sz w:val="24"/>
          <w:szCs w:val="24"/>
          <w:lang w:val="id-ID"/>
        </w:rPr>
        <w:t xml:space="preserve"> L., </w:t>
      </w:r>
      <w:r w:rsidRPr="00EA2D19">
        <w:rPr>
          <w:sz w:val="24"/>
          <w:szCs w:val="24"/>
        </w:rPr>
        <w:t>Schoenmaker,</w:t>
      </w:r>
      <w:r w:rsidRPr="00EA2D19">
        <w:rPr>
          <w:sz w:val="24"/>
          <w:szCs w:val="24"/>
          <w:lang w:val="id-ID"/>
        </w:rPr>
        <w:t xml:space="preserve"> D., &amp;</w:t>
      </w:r>
      <w:r w:rsidRPr="00EA2D19">
        <w:rPr>
          <w:sz w:val="24"/>
          <w:szCs w:val="24"/>
        </w:rPr>
        <w:t xml:space="preserve"> Weder di Mauro</w:t>
      </w:r>
      <w:r w:rsidRPr="00EA2D19">
        <w:rPr>
          <w:sz w:val="24"/>
          <w:szCs w:val="24"/>
          <w:lang w:val="id-ID"/>
        </w:rPr>
        <w:t>, B</w:t>
      </w:r>
      <w:r w:rsidRPr="00EA2D19">
        <w:rPr>
          <w:sz w:val="24"/>
          <w:szCs w:val="24"/>
        </w:rPr>
        <w:t xml:space="preserve">.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COVID-19: Europe Needs a Catastrophe Relief Plan. In </w:t>
      </w:r>
      <w:r w:rsidRPr="00EA2D19">
        <w:rPr>
          <w:i/>
          <w:iCs/>
          <w:sz w:val="24"/>
          <w:szCs w:val="24"/>
        </w:rPr>
        <w:t>Mitigating the COVID Economic Crisis: Act Fast and Do Whatever It Takes</w:t>
      </w:r>
      <w:r w:rsidRPr="00EA2D19">
        <w:rPr>
          <w:sz w:val="24"/>
          <w:szCs w:val="24"/>
        </w:rPr>
        <w:t xml:space="preserve">, </w:t>
      </w:r>
      <w:r w:rsidRPr="00EA2D19">
        <w:rPr>
          <w:sz w:val="24"/>
          <w:szCs w:val="24"/>
          <w:lang w:val="id-ID"/>
        </w:rPr>
        <w:t xml:space="preserve">pp. </w:t>
      </w:r>
      <w:r w:rsidRPr="00EA2D19">
        <w:rPr>
          <w:sz w:val="24"/>
          <w:szCs w:val="24"/>
        </w:rPr>
        <w:t>121–</w:t>
      </w:r>
      <w:r w:rsidRPr="00EA2D19">
        <w:rPr>
          <w:sz w:val="24"/>
          <w:szCs w:val="24"/>
          <w:lang w:val="id-ID"/>
        </w:rPr>
        <w:t>1</w:t>
      </w:r>
      <w:r w:rsidRPr="00EA2D19">
        <w:rPr>
          <w:sz w:val="24"/>
          <w:szCs w:val="24"/>
        </w:rPr>
        <w:t>28. Center for Economic Policy and Research. Washington, DC: CEPR Press.</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 xml:space="preserve">Bloomberg.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Goldman Now See China’s Economy Slumping 9% in First Quarter. March 17. </w:t>
      </w:r>
      <w:r w:rsidRPr="00EA2D19">
        <w:rPr>
          <w:sz w:val="24"/>
          <w:szCs w:val="24"/>
          <w:lang w:val="id-ID"/>
        </w:rPr>
        <w:t xml:space="preserve">Available at: </w:t>
      </w:r>
      <w:hyperlink r:id="rId20" w:history="1">
        <w:r w:rsidRPr="00EA2D19">
          <w:rPr>
            <w:rStyle w:val="Hyperlink"/>
            <w:sz w:val="24"/>
            <w:szCs w:val="24"/>
          </w:rPr>
          <w:t>https://www.bloomberg.com/news/articles/2020-03-17/goldman-now-see-china-s-economyslumping-9-in-first-quarter</w:t>
        </w:r>
      </w:hyperlink>
      <w:r w:rsidRPr="00EA2D19">
        <w:rPr>
          <w:sz w:val="24"/>
          <w:szCs w:val="24"/>
        </w:rPr>
        <w:t>.</w:t>
      </w:r>
    </w:p>
    <w:p w:rsidR="00E830CB" w:rsidRPr="00EA2D19" w:rsidRDefault="00E830CB" w:rsidP="00413269">
      <w:pPr>
        <w:pStyle w:val="TeksCatatanKaki"/>
        <w:ind w:left="567" w:hanging="567"/>
        <w:jc w:val="both"/>
        <w:rPr>
          <w:sz w:val="24"/>
          <w:szCs w:val="24"/>
          <w:lang w:val="id-ID"/>
        </w:rPr>
      </w:pPr>
      <w:r w:rsidRPr="00EA2D19">
        <w:rPr>
          <w:sz w:val="24"/>
          <w:szCs w:val="24"/>
        </w:rPr>
        <w:t>Buchanan, J.M.</w:t>
      </w:r>
      <w:r w:rsidRPr="00EA2D19">
        <w:rPr>
          <w:sz w:val="24"/>
          <w:szCs w:val="24"/>
          <w:lang w:val="id-ID"/>
        </w:rPr>
        <w:t xml:space="preserve"> (1987). </w:t>
      </w:r>
      <w:r w:rsidRPr="00EA2D19">
        <w:rPr>
          <w:i/>
          <w:iCs/>
          <w:sz w:val="24"/>
          <w:szCs w:val="24"/>
        </w:rPr>
        <w:t xml:space="preserve">Public </w:t>
      </w:r>
      <w:r w:rsidRPr="00EA2D19">
        <w:rPr>
          <w:i/>
          <w:iCs/>
          <w:sz w:val="24"/>
          <w:szCs w:val="24"/>
          <w:lang w:val="id-ID"/>
        </w:rPr>
        <w:t>F</w:t>
      </w:r>
      <w:r w:rsidRPr="00EA2D19">
        <w:rPr>
          <w:i/>
          <w:iCs/>
          <w:sz w:val="24"/>
          <w:szCs w:val="24"/>
        </w:rPr>
        <w:t xml:space="preserve">inance in </w:t>
      </w:r>
      <w:r w:rsidRPr="00EA2D19">
        <w:rPr>
          <w:i/>
          <w:iCs/>
          <w:sz w:val="24"/>
          <w:szCs w:val="24"/>
          <w:lang w:val="id-ID"/>
        </w:rPr>
        <w:t>D</w:t>
      </w:r>
      <w:r w:rsidRPr="00EA2D19">
        <w:rPr>
          <w:i/>
          <w:iCs/>
          <w:sz w:val="24"/>
          <w:szCs w:val="24"/>
        </w:rPr>
        <w:t xml:space="preserve">emocratic </w:t>
      </w:r>
      <w:r w:rsidRPr="00EA2D19">
        <w:rPr>
          <w:i/>
          <w:iCs/>
          <w:sz w:val="24"/>
          <w:szCs w:val="24"/>
          <w:lang w:val="id-ID"/>
        </w:rPr>
        <w:t>P</w:t>
      </w:r>
      <w:r w:rsidRPr="00EA2D19">
        <w:rPr>
          <w:i/>
          <w:iCs/>
          <w:sz w:val="24"/>
          <w:szCs w:val="24"/>
        </w:rPr>
        <w:t>rocess</w:t>
      </w:r>
      <w:r w:rsidRPr="00EA2D19">
        <w:rPr>
          <w:i/>
          <w:iCs/>
          <w:sz w:val="24"/>
          <w:szCs w:val="24"/>
          <w:lang w:val="id-ID"/>
        </w:rPr>
        <w:t>.</w:t>
      </w:r>
      <w:r w:rsidRPr="00EA2D19">
        <w:rPr>
          <w:i/>
          <w:iCs/>
          <w:sz w:val="24"/>
          <w:szCs w:val="24"/>
        </w:rPr>
        <w:t xml:space="preserve"> </w:t>
      </w:r>
      <w:r w:rsidRPr="00EA2D19">
        <w:rPr>
          <w:sz w:val="24"/>
          <w:szCs w:val="24"/>
        </w:rPr>
        <w:t>Chapel Hill, N.C.: University of North Carolina Press</w:t>
      </w:r>
      <w:r w:rsidRPr="00EA2D19">
        <w:rPr>
          <w:sz w:val="24"/>
          <w:szCs w:val="24"/>
          <w:lang w:val="id-ID"/>
        </w:rPr>
        <w:t xml:space="preserve">. Available at: </w:t>
      </w:r>
      <w:hyperlink r:id="rId21" w:history="1">
        <w:r w:rsidRPr="00EA2D19">
          <w:rPr>
            <w:rStyle w:val="Hyperlink"/>
            <w:i/>
            <w:iCs/>
            <w:sz w:val="24"/>
            <w:szCs w:val="24"/>
            <w:lang w:val="id-ID"/>
          </w:rPr>
          <w:t>https://books.google.co.id/books?hl=id&amp;lr=&amp;id=EnVPAwAAQBAJ&amp;oi=fnd&amp;pg=PP1&amp;dq=Buchanan,+J.M.+(1987).+Public+Finance+in+Democratic+Process&amp;ots</w:t>
        </w:r>
      </w:hyperlink>
      <w:r w:rsidRPr="00EA2D19">
        <w:rPr>
          <w:sz w:val="24"/>
          <w:szCs w:val="24"/>
          <w:lang w:val="id-ID"/>
        </w:rPr>
        <w:t>.</w:t>
      </w:r>
    </w:p>
    <w:p w:rsidR="00E830CB" w:rsidRPr="00EA2D19" w:rsidRDefault="00E830CB" w:rsidP="00150F0A">
      <w:pPr>
        <w:pStyle w:val="TeksCatatanKaki"/>
        <w:ind w:left="567" w:hanging="567"/>
        <w:jc w:val="both"/>
        <w:rPr>
          <w:sz w:val="24"/>
          <w:szCs w:val="24"/>
          <w:lang w:val="id-ID"/>
        </w:rPr>
      </w:pPr>
      <w:r w:rsidRPr="00EA2D19">
        <w:rPr>
          <w:sz w:val="24"/>
          <w:szCs w:val="24"/>
          <w:lang w:val="id-ID"/>
        </w:rPr>
        <w:t xml:space="preserve">Claeys, P. &amp; Chang, W.N. (2015). Public finance and management symposium on the public finance after the crisis: europe. </w:t>
      </w:r>
      <w:r w:rsidRPr="00EA2D19">
        <w:rPr>
          <w:i/>
          <w:iCs/>
          <w:sz w:val="24"/>
          <w:szCs w:val="24"/>
          <w:shd w:val="clear" w:color="auto" w:fill="FFFFFF"/>
        </w:rPr>
        <w:t>Public Finance and Management</w:t>
      </w:r>
      <w:r w:rsidRPr="00EA2D19">
        <w:rPr>
          <w:i/>
          <w:iCs/>
          <w:sz w:val="24"/>
          <w:szCs w:val="24"/>
          <w:shd w:val="clear" w:color="auto" w:fill="FFFFFF"/>
          <w:lang w:val="id-ID"/>
        </w:rPr>
        <w:t xml:space="preserve">, </w:t>
      </w:r>
      <w:r w:rsidRPr="00EA2D19">
        <w:rPr>
          <w:sz w:val="24"/>
          <w:szCs w:val="24"/>
          <w:shd w:val="clear" w:color="auto" w:fill="FFFFFF"/>
        </w:rPr>
        <w:t xml:space="preserve"> 15(3):</w:t>
      </w:r>
      <w:r w:rsidRPr="00EA2D19">
        <w:rPr>
          <w:sz w:val="24"/>
          <w:szCs w:val="24"/>
          <w:shd w:val="clear" w:color="auto" w:fill="FFFFFF"/>
          <w:lang w:val="id-ID"/>
        </w:rPr>
        <w:t xml:space="preserve"> </w:t>
      </w:r>
      <w:r w:rsidRPr="00EA2D19">
        <w:rPr>
          <w:sz w:val="24"/>
          <w:szCs w:val="24"/>
          <w:shd w:val="clear" w:color="auto" w:fill="FFFFFF"/>
        </w:rPr>
        <w:t>225-227</w:t>
      </w:r>
      <w:r w:rsidRPr="00EA2D19">
        <w:rPr>
          <w:sz w:val="24"/>
          <w:szCs w:val="24"/>
          <w:shd w:val="clear" w:color="auto" w:fill="FFFFFF"/>
          <w:lang w:val="id-ID"/>
        </w:rPr>
        <w:t>.</w:t>
      </w:r>
    </w:p>
    <w:p w:rsidR="00E830CB" w:rsidRPr="00EA2D19" w:rsidRDefault="00E830CB" w:rsidP="00374F9D">
      <w:pPr>
        <w:autoSpaceDE w:val="0"/>
        <w:autoSpaceDN w:val="0"/>
        <w:adjustRightInd w:val="0"/>
        <w:ind w:left="567" w:hanging="567"/>
        <w:jc w:val="both"/>
        <w:rPr>
          <w:sz w:val="24"/>
          <w:szCs w:val="24"/>
        </w:rPr>
      </w:pPr>
      <w:r w:rsidRPr="00EA2D19">
        <w:rPr>
          <w:sz w:val="24"/>
          <w:szCs w:val="24"/>
        </w:rPr>
        <w:lastRenderedPageBreak/>
        <w:t xml:space="preserve">CNN.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Oil Collapses by another 24% to $20. It Hasn't Been This Low since 2002. March 18. </w:t>
      </w:r>
      <w:r w:rsidRPr="00EA2D19">
        <w:rPr>
          <w:sz w:val="24"/>
          <w:szCs w:val="24"/>
          <w:lang w:val="id-ID"/>
        </w:rPr>
        <w:t xml:space="preserve">Available at: </w:t>
      </w:r>
      <w:hyperlink r:id="rId22" w:history="1">
        <w:r w:rsidRPr="00EA2D19">
          <w:rPr>
            <w:rStyle w:val="Hyperlink"/>
            <w:sz w:val="24"/>
            <w:szCs w:val="24"/>
          </w:rPr>
          <w:t>https://www.cnn.com/2020/03/18/business/crude-oil-prices-coronavirus/index.html</w:t>
        </w:r>
      </w:hyperlink>
      <w:r w:rsidRPr="00EA2D19">
        <w:rPr>
          <w:sz w:val="24"/>
          <w:szCs w:val="24"/>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Coibion, O., Gorodnichenko, Y., &amp; Weber, M. (2020). </w:t>
      </w:r>
      <w:r w:rsidRPr="00EA2D19">
        <w:rPr>
          <w:i/>
          <w:iCs/>
          <w:color w:val="222222"/>
          <w:sz w:val="24"/>
          <w:szCs w:val="24"/>
          <w:shd w:val="clear" w:color="auto" w:fill="FFFFFF"/>
          <w:lang w:val="id-ID"/>
        </w:rPr>
        <w:t>Labor markets during the covid-19 crisis: A preliminary view</w:t>
      </w:r>
      <w:r w:rsidRPr="00EA2D19">
        <w:rPr>
          <w:color w:val="222222"/>
          <w:sz w:val="24"/>
          <w:szCs w:val="24"/>
          <w:shd w:val="clear" w:color="auto" w:fill="FFFFFF"/>
          <w:lang w:val="id-ID"/>
        </w:rPr>
        <w:t xml:space="preserve"> (No. w27017). National Bureau of Economic Research. DOI: </w:t>
      </w:r>
      <w:hyperlink r:id="rId23" w:history="1">
        <w:r w:rsidRPr="00EA2D19">
          <w:rPr>
            <w:rStyle w:val="Hyperlink"/>
            <w:sz w:val="24"/>
            <w:szCs w:val="24"/>
            <w:shd w:val="clear" w:color="auto" w:fill="FFFFFF"/>
            <w:lang w:val="id-ID"/>
          </w:rPr>
          <w:t>https://doi.org/10.3386/w27017</w:t>
        </w:r>
      </w:hyperlink>
      <w:r w:rsidRPr="00EA2D19">
        <w:rPr>
          <w:color w:val="222222"/>
          <w:sz w:val="24"/>
          <w:szCs w:val="24"/>
          <w:shd w:val="clear" w:color="auto" w:fill="FFFFFF"/>
          <w:lang w:val="id-ID"/>
        </w:rPr>
        <w:t>.</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 xml:space="preserve">Economist, The.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Commodity Economies Face Their Own Reckoning Due to Covid-19. March 5. </w:t>
      </w:r>
      <w:r w:rsidRPr="00EA2D19">
        <w:rPr>
          <w:sz w:val="24"/>
          <w:szCs w:val="24"/>
          <w:lang w:val="id-ID"/>
        </w:rPr>
        <w:t xml:space="preserve">Available at: </w:t>
      </w:r>
      <w:hyperlink r:id="rId24" w:history="1">
        <w:r w:rsidRPr="00EA2D19">
          <w:rPr>
            <w:rStyle w:val="Hyperlink"/>
            <w:sz w:val="24"/>
            <w:szCs w:val="24"/>
          </w:rPr>
          <w:t>https://www.economist.com/finance-and-economics/2020/03/05/commodity-economiesface-their-own-reckoning-due-to-covid-19</w:t>
        </w:r>
      </w:hyperlink>
      <w:r w:rsidRPr="00EA2D19">
        <w:rPr>
          <w:sz w:val="24"/>
          <w:szCs w:val="24"/>
        </w:rPr>
        <w:t>.</w:t>
      </w:r>
    </w:p>
    <w:p w:rsidR="00E830CB" w:rsidRPr="00EA2D19" w:rsidRDefault="00E830CB" w:rsidP="00413269">
      <w:pPr>
        <w:pStyle w:val="TeksCatatanKaki"/>
        <w:ind w:left="567" w:hanging="567"/>
        <w:jc w:val="both"/>
        <w:rPr>
          <w:i/>
          <w:iCs/>
          <w:sz w:val="24"/>
          <w:szCs w:val="24"/>
          <w:lang w:val="id-ID"/>
        </w:rPr>
      </w:pPr>
      <w:r w:rsidRPr="00EA2D19">
        <w:rPr>
          <w:sz w:val="24"/>
          <w:szCs w:val="24"/>
        </w:rPr>
        <w:t>Edgeworth</w:t>
      </w:r>
      <w:r w:rsidRPr="00EA2D19">
        <w:rPr>
          <w:sz w:val="24"/>
          <w:szCs w:val="24"/>
          <w:lang w:val="id-ID"/>
        </w:rPr>
        <w:t>,</w:t>
      </w:r>
      <w:r w:rsidRPr="00EA2D19">
        <w:rPr>
          <w:sz w:val="24"/>
          <w:szCs w:val="24"/>
        </w:rPr>
        <w:t xml:space="preserve"> F</w:t>
      </w:r>
      <w:r w:rsidRPr="00EA2D19">
        <w:rPr>
          <w:sz w:val="24"/>
          <w:szCs w:val="24"/>
          <w:lang w:val="id-ID"/>
        </w:rPr>
        <w:t xml:space="preserve">. Y. (2007). </w:t>
      </w:r>
      <w:r w:rsidRPr="00EA2D19">
        <w:rPr>
          <w:sz w:val="24"/>
          <w:szCs w:val="24"/>
        </w:rPr>
        <w:t>The Pure Theory of Taxation</w:t>
      </w:r>
      <w:r w:rsidRPr="00EA2D19">
        <w:rPr>
          <w:sz w:val="24"/>
          <w:szCs w:val="24"/>
          <w:lang w:val="id-ID"/>
        </w:rPr>
        <w:t xml:space="preserve">. </w:t>
      </w:r>
      <w:r w:rsidRPr="00EA2D19">
        <w:rPr>
          <w:i/>
          <w:iCs/>
          <w:sz w:val="24"/>
          <w:szCs w:val="24"/>
        </w:rPr>
        <w:t>The Economic Journal,  7</w:t>
      </w:r>
      <w:r w:rsidRPr="00EA2D19">
        <w:rPr>
          <w:i/>
          <w:iCs/>
          <w:sz w:val="24"/>
          <w:szCs w:val="24"/>
          <w:lang w:val="id-ID"/>
        </w:rPr>
        <w:t>(</w:t>
      </w:r>
      <w:r w:rsidRPr="00EA2D19">
        <w:rPr>
          <w:i/>
          <w:iCs/>
          <w:sz w:val="24"/>
          <w:szCs w:val="24"/>
        </w:rPr>
        <w:t>25</w:t>
      </w:r>
      <w:r w:rsidRPr="00EA2D19">
        <w:rPr>
          <w:i/>
          <w:iCs/>
          <w:sz w:val="24"/>
          <w:szCs w:val="24"/>
          <w:lang w:val="id-ID"/>
        </w:rPr>
        <w:t>)</w:t>
      </w:r>
      <w:r w:rsidRPr="00EA2D19">
        <w:rPr>
          <w:i/>
          <w:iCs/>
          <w:sz w:val="24"/>
          <w:szCs w:val="24"/>
        </w:rPr>
        <w:t>. 46-70.</w:t>
      </w:r>
      <w:r w:rsidRPr="00EA2D19">
        <w:rPr>
          <w:sz w:val="24"/>
          <w:szCs w:val="24"/>
          <w:lang w:val="id-ID"/>
        </w:rPr>
        <w:t xml:space="preserve"> Available at: </w:t>
      </w:r>
      <w:hyperlink r:id="rId25" w:history="1">
        <w:r w:rsidRPr="00EA2D19">
          <w:rPr>
            <w:rStyle w:val="Hyperlink"/>
            <w:i/>
            <w:iCs/>
            <w:sz w:val="24"/>
            <w:szCs w:val="24"/>
            <w:lang w:val="id-ID"/>
          </w:rPr>
          <w:t>http://links.jstor.org/sici?sici=0013-0133%28189703% 297%3A25%3C46%3ATPTOT%3E2.0.CO%3B2-I</w:t>
        </w:r>
      </w:hyperlink>
      <w:r w:rsidRPr="00EA2D19">
        <w:rPr>
          <w:i/>
          <w:iCs/>
          <w:sz w:val="24"/>
          <w:szCs w:val="24"/>
          <w:lang w:val="id-ID"/>
        </w:rPr>
        <w:t>.</w:t>
      </w:r>
    </w:p>
    <w:p w:rsidR="00E830CB" w:rsidRPr="00EA2D19" w:rsidRDefault="00E830CB" w:rsidP="0051259F">
      <w:pPr>
        <w:pStyle w:val="TeksCatatanKaki"/>
        <w:ind w:left="567" w:hanging="567"/>
        <w:jc w:val="both"/>
        <w:rPr>
          <w:i/>
          <w:iCs/>
          <w:sz w:val="24"/>
          <w:szCs w:val="24"/>
          <w:lang w:val="id-ID"/>
        </w:rPr>
      </w:pPr>
      <w:r w:rsidRPr="00EA2D19">
        <w:rPr>
          <w:sz w:val="24"/>
          <w:szCs w:val="24"/>
        </w:rPr>
        <w:t>Faridi</w:t>
      </w:r>
      <w:r w:rsidRPr="00EA2D19">
        <w:rPr>
          <w:sz w:val="24"/>
          <w:szCs w:val="24"/>
          <w:lang w:val="id-ID"/>
        </w:rPr>
        <w:t>, FR.</w:t>
      </w:r>
      <w:r w:rsidRPr="00EA2D19">
        <w:rPr>
          <w:sz w:val="24"/>
          <w:szCs w:val="24"/>
        </w:rPr>
        <w:t xml:space="preserve"> </w:t>
      </w:r>
      <w:r w:rsidRPr="00EA2D19">
        <w:rPr>
          <w:sz w:val="24"/>
          <w:szCs w:val="24"/>
          <w:lang w:val="id-ID"/>
        </w:rPr>
        <w:t xml:space="preserve">(1983). </w:t>
      </w:r>
      <w:r w:rsidRPr="00EA2D19">
        <w:rPr>
          <w:sz w:val="24"/>
          <w:szCs w:val="24"/>
        </w:rPr>
        <w:t>Theory of Fiscal Policy in an Islamic State</w:t>
      </w:r>
      <w:r w:rsidRPr="00EA2D19">
        <w:rPr>
          <w:sz w:val="24"/>
          <w:szCs w:val="24"/>
          <w:lang w:val="id-ID"/>
        </w:rPr>
        <w:t>.</w:t>
      </w:r>
      <w:r w:rsidRPr="00EA2D19">
        <w:rPr>
          <w:sz w:val="24"/>
          <w:szCs w:val="24"/>
        </w:rPr>
        <w:t xml:space="preserve"> </w:t>
      </w:r>
      <w:r w:rsidRPr="00EA2D19">
        <w:rPr>
          <w:i/>
          <w:iCs/>
          <w:sz w:val="24"/>
          <w:szCs w:val="24"/>
        </w:rPr>
        <w:t xml:space="preserve">Journal Res. Islamic Economic, </w:t>
      </w:r>
      <w:r w:rsidRPr="00EA2D19">
        <w:rPr>
          <w:sz w:val="24"/>
          <w:szCs w:val="24"/>
          <w:lang w:val="id-ID"/>
        </w:rPr>
        <w:t>1(</w:t>
      </w:r>
      <w:r w:rsidRPr="00EA2D19">
        <w:rPr>
          <w:sz w:val="24"/>
          <w:szCs w:val="24"/>
        </w:rPr>
        <w:t>1</w:t>
      </w:r>
      <w:r w:rsidRPr="00EA2D19">
        <w:rPr>
          <w:sz w:val="24"/>
          <w:szCs w:val="24"/>
          <w:lang w:val="id-ID"/>
        </w:rPr>
        <w:t xml:space="preserve">), 15-30. Available at: </w:t>
      </w:r>
      <w:hyperlink r:id="rId26" w:history="1">
        <w:r w:rsidRPr="00EA2D19">
          <w:rPr>
            <w:rStyle w:val="Hyperlink"/>
            <w:i/>
            <w:iCs/>
            <w:sz w:val="24"/>
            <w:szCs w:val="24"/>
            <w:lang w:val="id-ID"/>
          </w:rPr>
          <w:t>http://ierc.sbu.ac.ir/File/Article/ Theory%20of%20Fiscal%20Policy%20in%20an%20Islamic%20State_94820.pdf</w:t>
        </w:r>
      </w:hyperlink>
      <w:r w:rsidRPr="00EA2D19">
        <w:rPr>
          <w:i/>
          <w:iCs/>
          <w:sz w:val="24"/>
          <w:szCs w:val="24"/>
          <w:lang w:val="id-ID"/>
        </w:rPr>
        <w:t>.</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 xml:space="preserve">Furman, J.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Protecting People Now, Helping the Economy Rebound Later. In </w:t>
      </w:r>
      <w:r w:rsidRPr="00EA2D19">
        <w:rPr>
          <w:i/>
          <w:iCs/>
          <w:sz w:val="24"/>
          <w:szCs w:val="24"/>
        </w:rPr>
        <w:t>Mitigating the COVID Economic Crisis: Act Fast and Do Whatever It Takes</w:t>
      </w:r>
      <w:r w:rsidRPr="00EA2D19">
        <w:rPr>
          <w:sz w:val="24"/>
          <w:szCs w:val="24"/>
          <w:lang w:val="id-ID"/>
        </w:rPr>
        <w:t>,</w:t>
      </w:r>
      <w:r w:rsidRPr="00EA2D19">
        <w:rPr>
          <w:sz w:val="24"/>
          <w:szCs w:val="24"/>
        </w:rPr>
        <w:t xml:space="preserve">, </w:t>
      </w:r>
      <w:r w:rsidRPr="00EA2D19">
        <w:rPr>
          <w:sz w:val="24"/>
          <w:szCs w:val="24"/>
          <w:lang w:val="id-ID"/>
        </w:rPr>
        <w:t xml:space="preserve">pp. </w:t>
      </w:r>
      <w:r w:rsidRPr="00EA2D19">
        <w:rPr>
          <w:sz w:val="24"/>
          <w:szCs w:val="24"/>
        </w:rPr>
        <w:t>191–96. Center for Economic Policy and Research. Washington, DC: CEPR Press.</w:t>
      </w:r>
    </w:p>
    <w:p w:rsidR="00E830CB" w:rsidRPr="00EA2D19" w:rsidRDefault="00E830CB" w:rsidP="00374F9D">
      <w:pPr>
        <w:autoSpaceDE w:val="0"/>
        <w:autoSpaceDN w:val="0"/>
        <w:adjustRightInd w:val="0"/>
        <w:ind w:left="567" w:hanging="567"/>
        <w:jc w:val="both"/>
        <w:rPr>
          <w:color w:val="222222"/>
          <w:sz w:val="24"/>
          <w:szCs w:val="24"/>
          <w:shd w:val="clear" w:color="auto" w:fill="FFFFFF"/>
        </w:rPr>
      </w:pPr>
      <w:r w:rsidRPr="00EA2D19">
        <w:rPr>
          <w:sz w:val="24"/>
          <w:szCs w:val="24"/>
        </w:rPr>
        <w:t xml:space="preserve">Galí, J.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w:t>
      </w:r>
      <w:r w:rsidRPr="00EA2D19">
        <w:rPr>
          <w:sz w:val="24"/>
          <w:szCs w:val="24"/>
          <w:lang w:val="id-ID"/>
        </w:rPr>
        <w:t xml:space="preserve"> </w:t>
      </w:r>
      <w:r w:rsidRPr="00EA2D19">
        <w:rPr>
          <w:sz w:val="24"/>
          <w:szCs w:val="24"/>
        </w:rPr>
        <w:t xml:space="preserve">Helicopter Money: The Time Is Now. In </w:t>
      </w:r>
      <w:r w:rsidRPr="00EA2D19">
        <w:rPr>
          <w:i/>
          <w:iCs/>
          <w:sz w:val="24"/>
          <w:szCs w:val="24"/>
        </w:rPr>
        <w:t>Mitigating the COVID Economic Crisis: Act Fast and Do Whatever It Takes</w:t>
      </w:r>
      <w:r w:rsidRPr="00EA2D19">
        <w:rPr>
          <w:sz w:val="24"/>
          <w:szCs w:val="24"/>
        </w:rPr>
        <w:t xml:space="preserve">, </w:t>
      </w:r>
      <w:r w:rsidRPr="00EA2D19">
        <w:rPr>
          <w:sz w:val="24"/>
          <w:szCs w:val="24"/>
          <w:lang w:val="id-ID"/>
        </w:rPr>
        <w:t>pp.</w:t>
      </w:r>
      <w:r w:rsidRPr="00EA2D19">
        <w:rPr>
          <w:sz w:val="24"/>
          <w:szCs w:val="24"/>
        </w:rPr>
        <w:t xml:space="preserve"> 57–62. Center for Economic Policy and Research. Washington, DC: CEPR Press.</w:t>
      </w:r>
    </w:p>
    <w:p w:rsidR="00E830CB" w:rsidRPr="00EA2D19" w:rsidRDefault="00E830CB" w:rsidP="00150F0A">
      <w:pPr>
        <w:pStyle w:val="TeksCatatanKaki"/>
        <w:ind w:left="567" w:hanging="567"/>
        <w:jc w:val="both"/>
        <w:rPr>
          <w:sz w:val="24"/>
          <w:szCs w:val="24"/>
          <w:lang w:val="id-ID"/>
        </w:rPr>
      </w:pPr>
      <w:r w:rsidRPr="00EA2D19">
        <w:rPr>
          <w:sz w:val="24"/>
          <w:szCs w:val="24"/>
        </w:rPr>
        <w:t>Glazer</w:t>
      </w:r>
      <w:r w:rsidRPr="00EA2D19">
        <w:rPr>
          <w:sz w:val="24"/>
          <w:szCs w:val="24"/>
          <w:lang w:val="id-ID"/>
        </w:rPr>
        <w:t>,</w:t>
      </w:r>
      <w:r w:rsidRPr="00EA2D19">
        <w:rPr>
          <w:sz w:val="24"/>
          <w:szCs w:val="24"/>
        </w:rPr>
        <w:t xml:space="preserve"> </w:t>
      </w:r>
      <w:r w:rsidRPr="00EA2D19">
        <w:rPr>
          <w:noProof/>
          <w:sz w:val="24"/>
          <w:szCs w:val="24"/>
        </w:rPr>
        <w:t>A</w:t>
      </w:r>
      <w:r w:rsidRPr="00EA2D19">
        <w:rPr>
          <w:noProof/>
          <w:sz w:val="24"/>
          <w:szCs w:val="24"/>
          <w:lang w:val="id-ID"/>
        </w:rPr>
        <w:t xml:space="preserve">. &amp; </w:t>
      </w:r>
      <w:r w:rsidRPr="00EA2D19">
        <w:rPr>
          <w:sz w:val="24"/>
          <w:szCs w:val="24"/>
        </w:rPr>
        <w:t>Rothenberg</w:t>
      </w:r>
      <w:r w:rsidRPr="00EA2D19">
        <w:rPr>
          <w:sz w:val="24"/>
          <w:szCs w:val="24"/>
          <w:lang w:val="id-ID"/>
        </w:rPr>
        <w:t>, L. (2001).</w:t>
      </w:r>
      <w:r w:rsidRPr="00EA2D19">
        <w:rPr>
          <w:sz w:val="24"/>
          <w:szCs w:val="24"/>
        </w:rPr>
        <w:t xml:space="preserve"> </w:t>
      </w:r>
      <w:r w:rsidRPr="00EA2D19">
        <w:rPr>
          <w:i/>
          <w:iCs/>
          <w:sz w:val="24"/>
          <w:szCs w:val="24"/>
        </w:rPr>
        <w:t>Why Government Succeeds and Why It Fails</w:t>
      </w:r>
      <w:r w:rsidRPr="00EA2D19">
        <w:rPr>
          <w:i/>
          <w:iCs/>
          <w:sz w:val="24"/>
          <w:szCs w:val="24"/>
          <w:lang w:val="id-ID"/>
        </w:rPr>
        <w:t>.</w:t>
      </w:r>
      <w:r w:rsidRPr="00EA2D19">
        <w:rPr>
          <w:i/>
          <w:iCs/>
          <w:sz w:val="24"/>
          <w:szCs w:val="24"/>
        </w:rPr>
        <w:t xml:space="preserve"> </w:t>
      </w:r>
      <w:r w:rsidRPr="00EA2D19">
        <w:rPr>
          <w:sz w:val="24"/>
          <w:szCs w:val="24"/>
        </w:rPr>
        <w:t>Cambridge MA: Harvard University Press.</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 xml:space="preserve">Goldman Sachs.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US Daily: A Sudden Stop for the US Economy. March 20.</w:t>
      </w:r>
      <w:r w:rsidRPr="00EA2D19">
        <w:rPr>
          <w:sz w:val="24"/>
          <w:szCs w:val="24"/>
          <w:lang w:val="id-ID"/>
        </w:rPr>
        <w:t xml:space="preserve"> Available at:</w:t>
      </w:r>
      <w:r w:rsidRPr="00EA2D19">
        <w:rPr>
          <w:sz w:val="24"/>
          <w:szCs w:val="24"/>
        </w:rPr>
        <w:t xml:space="preserve"> </w:t>
      </w:r>
      <w:hyperlink r:id="rId27" w:history="1">
        <w:r w:rsidRPr="00EA2D19">
          <w:rPr>
            <w:rStyle w:val="Hyperlink"/>
            <w:sz w:val="24"/>
            <w:szCs w:val="24"/>
          </w:rPr>
          <w:t>https://www.goldmansachs.com/insights/pages/us-daily-20-march-2020.html</w:t>
        </w:r>
      </w:hyperlink>
      <w:r w:rsidRPr="00EA2D19">
        <w:rPr>
          <w:sz w:val="24"/>
          <w:szCs w:val="24"/>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Goodell, J. W. (2020). COVID-19 and finance: Agendas for future research. </w:t>
      </w:r>
      <w:r w:rsidRPr="00EA2D19">
        <w:rPr>
          <w:i/>
          <w:iCs/>
          <w:color w:val="222222"/>
          <w:sz w:val="24"/>
          <w:szCs w:val="24"/>
          <w:shd w:val="clear" w:color="auto" w:fill="FFFFFF"/>
          <w:lang w:val="id-ID"/>
        </w:rPr>
        <w:t>Finance Research Letters</w:t>
      </w:r>
      <w:r w:rsidRPr="00EA2D19">
        <w:rPr>
          <w:color w:val="222222"/>
          <w:sz w:val="24"/>
          <w:szCs w:val="24"/>
          <w:shd w:val="clear" w:color="auto" w:fill="FFFFFF"/>
          <w:lang w:val="id-ID"/>
        </w:rPr>
        <w:t xml:space="preserve">, 101512. DOI: </w:t>
      </w:r>
      <w:hyperlink r:id="rId28" w:history="1">
        <w:r w:rsidRPr="00EA2D19">
          <w:rPr>
            <w:rStyle w:val="Hyperlink"/>
            <w:sz w:val="24"/>
            <w:szCs w:val="24"/>
            <w:shd w:val="clear" w:color="auto" w:fill="FFFFFF"/>
            <w:lang w:val="id-ID"/>
          </w:rPr>
          <w:t>https://doi.org/10.1016/j.frl.2020.101512</w:t>
        </w:r>
      </w:hyperlink>
      <w:r w:rsidRPr="00EA2D19">
        <w:rPr>
          <w:color w:val="222222"/>
          <w:sz w:val="24"/>
          <w:szCs w:val="24"/>
          <w:shd w:val="clear" w:color="auto" w:fill="FFFFFF"/>
          <w:lang w:val="id-ID"/>
        </w:rPr>
        <w:t>.</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 xml:space="preserve">Gopinath, G.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Limiting the Economic Fallout of the Coronavirus with Large Targeted Policies. In </w:t>
      </w:r>
      <w:r w:rsidRPr="00EA2D19">
        <w:rPr>
          <w:i/>
          <w:iCs/>
          <w:sz w:val="24"/>
          <w:szCs w:val="24"/>
        </w:rPr>
        <w:t xml:space="preserve">Mitigating the COVID Economic Crisis: Act Fast and Do Whatever It Takes, </w:t>
      </w:r>
      <w:r w:rsidRPr="00EA2D19">
        <w:rPr>
          <w:sz w:val="24"/>
          <w:szCs w:val="24"/>
          <w:lang w:val="id-ID"/>
        </w:rPr>
        <w:t>pp.</w:t>
      </w:r>
      <w:r w:rsidRPr="00EA2D19">
        <w:rPr>
          <w:sz w:val="24"/>
          <w:szCs w:val="24"/>
        </w:rPr>
        <w:t xml:space="preserve"> 41</w:t>
      </w:r>
      <w:r w:rsidRPr="00EA2D19">
        <w:rPr>
          <w:sz w:val="24"/>
          <w:szCs w:val="24"/>
          <w:lang w:val="id-ID"/>
        </w:rPr>
        <w:t>-</w:t>
      </w:r>
      <w:r w:rsidRPr="00EA2D19">
        <w:rPr>
          <w:sz w:val="24"/>
          <w:szCs w:val="24"/>
        </w:rPr>
        <w:t>48. Center for Economic Policy and Research. Washington, DC: CEPR Press.</w:t>
      </w:r>
    </w:p>
    <w:p w:rsidR="00E830CB" w:rsidRPr="00EA2D19" w:rsidRDefault="00E830CB" w:rsidP="00304E1E">
      <w:pPr>
        <w:pStyle w:val="TeksCatatanKaki"/>
        <w:ind w:left="567" w:hanging="567"/>
        <w:jc w:val="both"/>
        <w:rPr>
          <w:sz w:val="24"/>
          <w:szCs w:val="24"/>
          <w:lang w:val="id-ID"/>
        </w:rPr>
      </w:pPr>
      <w:r w:rsidRPr="00306E5B">
        <w:rPr>
          <w:sz w:val="24"/>
          <w:szCs w:val="24"/>
        </w:rPr>
        <w:t>Harta</w:t>
      </w:r>
      <w:r w:rsidRPr="00306E5B">
        <w:rPr>
          <w:sz w:val="24"/>
          <w:szCs w:val="24"/>
          <w:lang w:val="id-ID"/>
        </w:rPr>
        <w:t>r</w:t>
      </w:r>
      <w:r w:rsidRPr="00306E5B">
        <w:rPr>
          <w:sz w:val="24"/>
          <w:szCs w:val="24"/>
        </w:rPr>
        <w:t>to,</w:t>
      </w:r>
      <w:r w:rsidRPr="00306E5B">
        <w:rPr>
          <w:sz w:val="24"/>
          <w:szCs w:val="24"/>
          <w:lang w:val="id-ID"/>
        </w:rPr>
        <w:t xml:space="preserve"> A.  (2020).</w:t>
      </w:r>
      <w:r w:rsidRPr="00306E5B">
        <w:rPr>
          <w:sz w:val="24"/>
          <w:szCs w:val="24"/>
        </w:rPr>
        <w:t xml:space="preserve"> Ini Rangkaian Stimulus Ekonomi Kedua untuk Menangani Dampak Virus Coron</w:t>
      </w:r>
      <w:r w:rsidRPr="00306E5B">
        <w:rPr>
          <w:sz w:val="24"/>
          <w:szCs w:val="24"/>
          <w:lang w:val="id-ID"/>
        </w:rPr>
        <w:t>a</w:t>
      </w:r>
      <w:r w:rsidRPr="00EA2D19">
        <w:rPr>
          <w:sz w:val="24"/>
          <w:szCs w:val="24"/>
          <w:lang w:val="id-ID"/>
        </w:rPr>
        <w:t xml:space="preserve">. </w:t>
      </w:r>
      <w:r w:rsidRPr="00EA2D19">
        <w:rPr>
          <w:i/>
          <w:iCs/>
          <w:sz w:val="24"/>
          <w:szCs w:val="24"/>
        </w:rPr>
        <w:t>Hukum</w:t>
      </w:r>
      <w:r w:rsidRPr="00EA2D19">
        <w:rPr>
          <w:i/>
          <w:iCs/>
          <w:sz w:val="24"/>
          <w:szCs w:val="24"/>
          <w:lang w:val="id-ID"/>
        </w:rPr>
        <w:t xml:space="preserve"> O</w:t>
      </w:r>
      <w:r w:rsidRPr="00EA2D19">
        <w:rPr>
          <w:i/>
          <w:iCs/>
          <w:sz w:val="24"/>
          <w:szCs w:val="24"/>
        </w:rPr>
        <w:t>nline</w:t>
      </w:r>
      <w:r w:rsidRPr="00EA2D19">
        <w:rPr>
          <w:sz w:val="24"/>
          <w:szCs w:val="24"/>
          <w:lang w:val="id-ID"/>
        </w:rPr>
        <w:t xml:space="preserve"> </w:t>
      </w:r>
      <w:r w:rsidRPr="00EA2D19">
        <w:rPr>
          <w:sz w:val="24"/>
          <w:szCs w:val="24"/>
        </w:rPr>
        <w:t>(13 Maret 2020)</w:t>
      </w:r>
      <w:r w:rsidRPr="00EA2D19">
        <w:rPr>
          <w:sz w:val="24"/>
          <w:szCs w:val="24"/>
          <w:lang w:val="id-ID"/>
        </w:rPr>
        <w:t xml:space="preserve">. Available at: </w:t>
      </w:r>
      <w:hyperlink r:id="rId29" w:history="1">
        <w:r w:rsidRPr="00EA2D19">
          <w:rPr>
            <w:rStyle w:val="Hyperlink"/>
            <w:sz w:val="24"/>
            <w:szCs w:val="24"/>
          </w:rPr>
          <w:t>https://www.hukumonline.com/berita/baca/lt5e6bd744c6f55/ini-rangkaian-stimulus-ekonomi-kedua-untuk-menangani-dampak-virus-corona</w:t>
        </w:r>
      </w:hyperlink>
      <w:r w:rsidRPr="00EA2D19">
        <w:rPr>
          <w:sz w:val="24"/>
          <w:szCs w:val="24"/>
          <w:lang w:val="id-ID"/>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Hollingsworth, T. D., Klinkenberg, D., Heesterbeek, H., &amp; Anderson, R. M. (2011). Mitigation strategies for pandemic influenza A: balancing conflicting policy objectives. </w:t>
      </w:r>
      <w:r w:rsidRPr="00EA2D19">
        <w:rPr>
          <w:i/>
          <w:iCs/>
          <w:color w:val="222222"/>
          <w:sz w:val="24"/>
          <w:szCs w:val="24"/>
          <w:shd w:val="clear" w:color="auto" w:fill="FFFFFF"/>
          <w:lang w:val="id-ID"/>
        </w:rPr>
        <w:t>PLoS computational biology,</w:t>
      </w:r>
      <w:r w:rsidRPr="00EA2D19">
        <w:rPr>
          <w:color w:val="222222"/>
          <w:sz w:val="24"/>
          <w:szCs w:val="24"/>
          <w:shd w:val="clear" w:color="auto" w:fill="FFFFFF"/>
          <w:lang w:val="id-ID"/>
        </w:rPr>
        <w:t xml:space="preserve"> 7(2). DOI: </w:t>
      </w:r>
      <w:hyperlink r:id="rId30" w:history="1">
        <w:r w:rsidRPr="00EA2D19">
          <w:rPr>
            <w:rStyle w:val="Hyperlink"/>
            <w:sz w:val="24"/>
            <w:szCs w:val="24"/>
            <w:shd w:val="clear" w:color="auto" w:fill="FFFFFF"/>
            <w:lang w:val="id-ID"/>
          </w:rPr>
          <w:t>https://doi.org/10.1371/journal.pcbi.1001076</w:t>
        </w:r>
      </w:hyperlink>
      <w:r w:rsidRPr="00EA2D19">
        <w:rPr>
          <w:color w:val="222222"/>
          <w:sz w:val="24"/>
          <w:szCs w:val="24"/>
          <w:shd w:val="clear" w:color="auto" w:fill="FFFFFF"/>
          <w:lang w:val="id-ID"/>
        </w:rPr>
        <w:t>.</w:t>
      </w:r>
    </w:p>
    <w:p w:rsidR="00E830CB" w:rsidRDefault="00E830CB" w:rsidP="0058341D">
      <w:pPr>
        <w:autoSpaceDE w:val="0"/>
        <w:autoSpaceDN w:val="0"/>
        <w:adjustRightInd w:val="0"/>
        <w:ind w:left="567" w:hanging="567"/>
        <w:jc w:val="both"/>
        <w:rPr>
          <w:sz w:val="24"/>
          <w:szCs w:val="24"/>
          <w:lang w:val="id-ID"/>
        </w:rPr>
      </w:pPr>
      <w:r w:rsidRPr="00EA2D19">
        <w:rPr>
          <w:sz w:val="24"/>
          <w:szCs w:val="24"/>
        </w:rPr>
        <w:t xml:space="preserve">IMF (International Monetary Fund).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IMF’s Georgieva: COVID-19 Economic Outlook Negative, but Rebound in 2021</w:t>
      </w:r>
      <w:r w:rsidRPr="00EA2D19">
        <w:rPr>
          <w:sz w:val="24"/>
          <w:szCs w:val="24"/>
          <w:lang w:val="id-ID"/>
        </w:rPr>
        <w:t>.</w:t>
      </w:r>
      <w:r w:rsidRPr="00EA2D19">
        <w:rPr>
          <w:sz w:val="24"/>
          <w:szCs w:val="24"/>
        </w:rPr>
        <w:t xml:space="preserve"> March 23.</w:t>
      </w:r>
      <w:r w:rsidRPr="00EA2D19">
        <w:rPr>
          <w:sz w:val="24"/>
          <w:szCs w:val="24"/>
          <w:lang w:val="id-ID"/>
        </w:rPr>
        <w:t xml:space="preserve"> Available at: </w:t>
      </w:r>
      <w:r w:rsidRPr="00EA2D19">
        <w:rPr>
          <w:sz w:val="24"/>
          <w:szCs w:val="24"/>
        </w:rPr>
        <w:t xml:space="preserve"> </w:t>
      </w:r>
      <w:hyperlink r:id="rId31" w:history="1">
        <w:r w:rsidRPr="00EA2D19">
          <w:rPr>
            <w:rStyle w:val="Hyperlink"/>
            <w:sz w:val="24"/>
            <w:szCs w:val="24"/>
          </w:rPr>
          <w:t>https://www.imf.org/external/mmedia/view.aspx?vid=6144138845001</w:t>
        </w:r>
      </w:hyperlink>
      <w:r w:rsidRPr="00EA2D19">
        <w:rPr>
          <w:sz w:val="24"/>
          <w:szCs w:val="24"/>
        </w:rPr>
        <w:t>.</w:t>
      </w:r>
    </w:p>
    <w:p w:rsidR="00E830CB" w:rsidRDefault="00E830CB" w:rsidP="0058341D">
      <w:pPr>
        <w:autoSpaceDE w:val="0"/>
        <w:autoSpaceDN w:val="0"/>
        <w:adjustRightInd w:val="0"/>
        <w:ind w:left="567" w:hanging="567"/>
        <w:jc w:val="both"/>
        <w:rPr>
          <w:sz w:val="24"/>
          <w:szCs w:val="24"/>
          <w:lang w:val="id-ID"/>
        </w:rPr>
      </w:pPr>
      <w:r w:rsidRPr="00EA2D19">
        <w:rPr>
          <w:sz w:val="24"/>
          <w:szCs w:val="24"/>
          <w:lang w:val="id-ID"/>
        </w:rPr>
        <w:t xml:space="preserve">Jaelani, A. (2016). Religion, Economy, and State: Economic Thought of al-Mawardi in Adab al-Dunya wa-al-Din. </w:t>
      </w:r>
      <w:r w:rsidRPr="00EA2D19">
        <w:rPr>
          <w:i/>
          <w:iCs/>
          <w:sz w:val="24"/>
          <w:szCs w:val="24"/>
          <w:lang w:val="id-ID"/>
        </w:rPr>
        <w:t>Journal of Economics Library</w:t>
      </w:r>
      <w:r w:rsidRPr="00EA2D19">
        <w:rPr>
          <w:sz w:val="24"/>
          <w:szCs w:val="24"/>
          <w:lang w:val="id-ID"/>
        </w:rPr>
        <w:t>, 3(3), 508-523</w:t>
      </w:r>
      <w:r>
        <w:rPr>
          <w:sz w:val="24"/>
          <w:szCs w:val="24"/>
          <w:lang w:val="id-ID"/>
        </w:rPr>
        <w:t>.</w:t>
      </w:r>
    </w:p>
    <w:p w:rsidR="00E830CB" w:rsidRDefault="00E830CB" w:rsidP="0058341D">
      <w:pPr>
        <w:autoSpaceDE w:val="0"/>
        <w:autoSpaceDN w:val="0"/>
        <w:adjustRightInd w:val="0"/>
        <w:ind w:left="567" w:hanging="567"/>
        <w:jc w:val="both"/>
        <w:rPr>
          <w:sz w:val="24"/>
          <w:szCs w:val="24"/>
          <w:lang w:val="id-ID"/>
        </w:rPr>
      </w:pPr>
      <w:r w:rsidRPr="00EA2D19">
        <w:rPr>
          <w:sz w:val="24"/>
          <w:szCs w:val="24"/>
        </w:rPr>
        <w:t xml:space="preserve">Jaelani, A. (2017). Fiscal Policy in Indonesia: Analysis of State Budget 2017 in Islamic Economic Perspective. </w:t>
      </w:r>
      <w:r w:rsidRPr="00EA2D19">
        <w:rPr>
          <w:i/>
          <w:iCs/>
          <w:sz w:val="24"/>
          <w:szCs w:val="24"/>
        </w:rPr>
        <w:t>International Journal of Economics and Financial Issues</w:t>
      </w:r>
      <w:r w:rsidRPr="00EA2D19">
        <w:rPr>
          <w:sz w:val="24"/>
          <w:szCs w:val="24"/>
        </w:rPr>
        <w:t>, 7(5), 14</w:t>
      </w:r>
      <w:r>
        <w:rPr>
          <w:sz w:val="24"/>
          <w:szCs w:val="24"/>
          <w:lang w:val="id-ID"/>
        </w:rPr>
        <w:t>.</w:t>
      </w:r>
    </w:p>
    <w:p w:rsidR="00E830CB" w:rsidRDefault="00E830CB" w:rsidP="0058341D">
      <w:pPr>
        <w:autoSpaceDE w:val="0"/>
        <w:autoSpaceDN w:val="0"/>
        <w:adjustRightInd w:val="0"/>
        <w:ind w:left="567" w:hanging="567"/>
        <w:jc w:val="both"/>
        <w:rPr>
          <w:sz w:val="24"/>
          <w:szCs w:val="24"/>
          <w:lang w:val="id-ID"/>
        </w:rPr>
      </w:pPr>
      <w:r w:rsidRPr="00EA2D19">
        <w:rPr>
          <w:sz w:val="24"/>
          <w:szCs w:val="24"/>
          <w:lang w:val="id-ID"/>
        </w:rPr>
        <w:lastRenderedPageBreak/>
        <w:t xml:space="preserve">Jaelani, A. (2018). </w:t>
      </w:r>
      <w:r w:rsidRPr="00EA2D19">
        <w:rPr>
          <w:i/>
          <w:iCs/>
          <w:sz w:val="24"/>
          <w:szCs w:val="24"/>
          <w:lang w:val="id-ID"/>
        </w:rPr>
        <w:t>Keuangan Publik: Analisis Sejarah Pemikiran Ekonomi Islam</w:t>
      </w:r>
      <w:r w:rsidRPr="00EA2D19">
        <w:rPr>
          <w:sz w:val="24"/>
          <w:szCs w:val="24"/>
          <w:lang w:val="id-ID"/>
        </w:rPr>
        <w:t>. Cirebon: CV. Aksarasatu.</w:t>
      </w:r>
    </w:p>
    <w:p w:rsidR="00E830CB" w:rsidRDefault="00E830CB" w:rsidP="007162CB">
      <w:pPr>
        <w:pStyle w:val="TeksCatatanKaki"/>
        <w:ind w:left="567" w:hanging="567"/>
        <w:jc w:val="both"/>
        <w:rPr>
          <w:sz w:val="24"/>
          <w:szCs w:val="24"/>
          <w:lang w:val="id-ID"/>
        </w:rPr>
      </w:pPr>
      <w:r w:rsidRPr="00EA2D19">
        <w:rPr>
          <w:sz w:val="24"/>
          <w:szCs w:val="24"/>
          <w:lang w:val="id-ID"/>
        </w:rPr>
        <w:t xml:space="preserve">Jaelani, A. (2018a). Public Expenditure Management in Indonesia. </w:t>
      </w:r>
      <w:r w:rsidRPr="00EA2D19">
        <w:rPr>
          <w:i/>
          <w:iCs/>
          <w:sz w:val="24"/>
          <w:szCs w:val="24"/>
          <w:lang w:val="id-ID"/>
        </w:rPr>
        <w:t>HUNAFA: Jurnal Studia Islamika</w:t>
      </w:r>
      <w:r w:rsidRPr="00EA2D19">
        <w:rPr>
          <w:sz w:val="24"/>
          <w:szCs w:val="24"/>
          <w:lang w:val="id-ID"/>
        </w:rPr>
        <w:t>, 15(2), 189-224.</w:t>
      </w:r>
    </w:p>
    <w:p w:rsidR="00E830CB" w:rsidRDefault="00E830CB" w:rsidP="007162CB">
      <w:pPr>
        <w:pStyle w:val="TeksCatatanKaki"/>
        <w:ind w:left="567" w:hanging="567"/>
        <w:jc w:val="both"/>
        <w:rPr>
          <w:sz w:val="24"/>
          <w:szCs w:val="24"/>
          <w:lang w:val="id-ID"/>
        </w:rPr>
      </w:pPr>
      <w:r w:rsidRPr="007162CB">
        <w:rPr>
          <w:sz w:val="24"/>
          <w:szCs w:val="24"/>
          <w:lang w:val="id-ID"/>
        </w:rPr>
        <w:t>Jaelani, A. (2018</w:t>
      </w:r>
      <w:r>
        <w:rPr>
          <w:sz w:val="24"/>
          <w:szCs w:val="24"/>
          <w:lang w:val="id-ID"/>
        </w:rPr>
        <w:t>b</w:t>
      </w:r>
      <w:r w:rsidRPr="007162CB">
        <w:rPr>
          <w:sz w:val="24"/>
          <w:szCs w:val="24"/>
          <w:lang w:val="id-ID"/>
        </w:rPr>
        <w:t>). Relasi negara dan pasar bebas dalam mewujudkan keadilan ekonomi: Analisis sejarah keuangan publik Islam. Al-Mustashfa: Jurnal Penelitian Hukum Ekonomi Syariah, 3(2), 169-186.</w:t>
      </w:r>
    </w:p>
    <w:p w:rsidR="00E830CB" w:rsidRPr="0058341D" w:rsidRDefault="00E830CB" w:rsidP="007162CB">
      <w:pPr>
        <w:pStyle w:val="TeksCatatanKaki"/>
        <w:ind w:left="567" w:hanging="567"/>
        <w:jc w:val="both"/>
        <w:rPr>
          <w:bCs/>
          <w:sz w:val="24"/>
          <w:szCs w:val="24"/>
          <w:lang w:val="id-ID"/>
        </w:rPr>
      </w:pPr>
      <w:r w:rsidRPr="0058341D">
        <w:rPr>
          <w:bCs/>
          <w:sz w:val="24"/>
          <w:szCs w:val="24"/>
          <w:lang w:val="id-ID"/>
        </w:rPr>
        <w:t xml:space="preserve">Kementerian Hukum dan HAM RI. (2020). </w:t>
      </w:r>
      <w:r w:rsidRPr="0058341D">
        <w:rPr>
          <w:bCs/>
          <w:sz w:val="24"/>
          <w:szCs w:val="24"/>
        </w:rPr>
        <w:t xml:space="preserve">Peraturan Pemerintah Nomor 23 Tahun 2020 tentang Pelaksanaan Program Pemulihan Ekonomi Nasional </w:t>
      </w:r>
      <w:r w:rsidRPr="0058341D">
        <w:rPr>
          <w:bCs/>
          <w:sz w:val="24"/>
          <w:szCs w:val="24"/>
          <w:lang w:val="id-ID"/>
        </w:rPr>
        <w:t>d</w:t>
      </w:r>
      <w:r w:rsidRPr="0058341D">
        <w:rPr>
          <w:bCs/>
          <w:sz w:val="24"/>
          <w:szCs w:val="24"/>
        </w:rPr>
        <w:t>alam Rangka Mendukung Kebijakan Keuangan Negara untuk Penanganan Pandemi Corona Virus Disease 2019 (COVID- 19)</w:t>
      </w:r>
      <w:r w:rsidRPr="0058341D">
        <w:rPr>
          <w:bCs/>
          <w:sz w:val="24"/>
          <w:szCs w:val="24"/>
          <w:lang w:val="id-ID"/>
        </w:rPr>
        <w:t>. Jakarta: Kemenkumham.</w:t>
      </w:r>
    </w:p>
    <w:p w:rsidR="00E830CB" w:rsidRPr="00E830CB" w:rsidRDefault="00E830CB" w:rsidP="00E830CB">
      <w:pPr>
        <w:pStyle w:val="TeksCatatanKaki"/>
        <w:ind w:left="567" w:hanging="567"/>
        <w:jc w:val="both"/>
        <w:rPr>
          <w:sz w:val="24"/>
          <w:szCs w:val="24"/>
          <w:lang w:val="id-ID"/>
        </w:rPr>
      </w:pPr>
      <w:r w:rsidRPr="00E830CB">
        <w:rPr>
          <w:sz w:val="24"/>
          <w:szCs w:val="24"/>
          <w:lang w:val="id-ID"/>
        </w:rPr>
        <w:t xml:space="preserve">Kementerian Hukum RI. (2003). </w:t>
      </w:r>
      <w:r w:rsidRPr="00E830CB">
        <w:rPr>
          <w:sz w:val="24"/>
          <w:szCs w:val="24"/>
        </w:rPr>
        <w:t>Undang-Undang Republik Indonesia No</w:t>
      </w:r>
      <w:r w:rsidRPr="00E830CB">
        <w:rPr>
          <w:sz w:val="24"/>
          <w:szCs w:val="24"/>
          <w:lang w:val="id-ID"/>
        </w:rPr>
        <w:t xml:space="preserve">mor </w:t>
      </w:r>
      <w:r w:rsidRPr="00E830CB">
        <w:rPr>
          <w:sz w:val="24"/>
          <w:szCs w:val="24"/>
        </w:rPr>
        <w:t>17</w:t>
      </w:r>
      <w:r w:rsidRPr="00E830CB">
        <w:rPr>
          <w:sz w:val="24"/>
          <w:szCs w:val="24"/>
          <w:lang w:val="id-ID"/>
        </w:rPr>
        <w:t xml:space="preserve"> Tahun </w:t>
      </w:r>
      <w:r w:rsidRPr="00E830CB">
        <w:rPr>
          <w:sz w:val="24"/>
          <w:szCs w:val="24"/>
        </w:rPr>
        <w:t xml:space="preserve">2003 tentang </w:t>
      </w:r>
      <w:r w:rsidRPr="00E830CB">
        <w:rPr>
          <w:sz w:val="24"/>
          <w:szCs w:val="24"/>
          <w:lang w:val="id-ID"/>
        </w:rPr>
        <w:t>K</w:t>
      </w:r>
      <w:r w:rsidRPr="00E830CB">
        <w:rPr>
          <w:sz w:val="24"/>
          <w:szCs w:val="24"/>
        </w:rPr>
        <w:t xml:space="preserve">euangan </w:t>
      </w:r>
      <w:r w:rsidRPr="00E830CB">
        <w:rPr>
          <w:sz w:val="24"/>
          <w:szCs w:val="24"/>
          <w:lang w:val="id-ID"/>
        </w:rPr>
        <w:t>N</w:t>
      </w:r>
      <w:r w:rsidRPr="00E830CB">
        <w:rPr>
          <w:sz w:val="24"/>
          <w:szCs w:val="24"/>
        </w:rPr>
        <w:t>egara.</w:t>
      </w:r>
      <w:r w:rsidRPr="00E830CB">
        <w:rPr>
          <w:sz w:val="24"/>
          <w:szCs w:val="24"/>
          <w:lang w:val="id-ID"/>
        </w:rPr>
        <w:t xml:space="preserve"> Jakarta: Kementerian Hukum.</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Loayza, N. V., &amp; Pennings, S. (2020). Macroeconomic policy in the time of COVID-19: A primer for developing countries. DOI: </w:t>
      </w:r>
      <w:hyperlink r:id="rId32" w:history="1">
        <w:r w:rsidRPr="00EA2D19">
          <w:rPr>
            <w:rStyle w:val="Hyperlink"/>
            <w:sz w:val="24"/>
            <w:szCs w:val="24"/>
            <w:shd w:val="clear" w:color="auto" w:fill="FFFFFF"/>
            <w:lang w:val="id-ID"/>
          </w:rPr>
          <w:t>https://doi.org/10.1596/33540</w:t>
        </w:r>
      </w:hyperlink>
      <w:r w:rsidRPr="00EA2D19">
        <w:rPr>
          <w:color w:val="222222"/>
          <w:sz w:val="24"/>
          <w:szCs w:val="24"/>
          <w:shd w:val="clear" w:color="auto" w:fill="FFFFFF"/>
          <w:lang w:val="id-ID"/>
        </w:rPr>
        <w:t>.</w:t>
      </w:r>
    </w:p>
    <w:p w:rsidR="00E830CB" w:rsidRPr="00EA2D19" w:rsidRDefault="00E830CB" w:rsidP="00413269">
      <w:pPr>
        <w:pStyle w:val="TeksCatatanKaki"/>
        <w:ind w:left="567" w:hanging="567"/>
        <w:jc w:val="both"/>
        <w:rPr>
          <w:sz w:val="24"/>
          <w:szCs w:val="24"/>
          <w:lang w:val="id-ID"/>
        </w:rPr>
      </w:pPr>
      <w:r w:rsidRPr="00EA2D19">
        <w:rPr>
          <w:sz w:val="24"/>
          <w:szCs w:val="24"/>
        </w:rPr>
        <w:t>Musgrave</w:t>
      </w:r>
      <w:r w:rsidRPr="00EA2D19">
        <w:rPr>
          <w:sz w:val="24"/>
          <w:szCs w:val="24"/>
          <w:lang w:val="id-ID"/>
        </w:rPr>
        <w:t>,</w:t>
      </w:r>
      <w:r w:rsidRPr="00EA2D19">
        <w:rPr>
          <w:sz w:val="24"/>
          <w:szCs w:val="24"/>
        </w:rPr>
        <w:t xml:space="preserve"> R</w:t>
      </w:r>
      <w:r w:rsidRPr="00EA2D19">
        <w:rPr>
          <w:sz w:val="24"/>
          <w:szCs w:val="24"/>
          <w:lang w:val="id-ID"/>
        </w:rPr>
        <w:t>.A.</w:t>
      </w:r>
      <w:r w:rsidRPr="00EA2D19">
        <w:rPr>
          <w:sz w:val="24"/>
          <w:szCs w:val="24"/>
        </w:rPr>
        <w:t xml:space="preserve"> </w:t>
      </w:r>
      <w:r w:rsidRPr="00EA2D19">
        <w:rPr>
          <w:sz w:val="24"/>
          <w:szCs w:val="24"/>
          <w:lang w:val="id-ID"/>
        </w:rPr>
        <w:t xml:space="preserve">&amp; </w:t>
      </w:r>
      <w:r w:rsidRPr="00EA2D19">
        <w:rPr>
          <w:sz w:val="24"/>
          <w:szCs w:val="24"/>
        </w:rPr>
        <w:t>Peacock</w:t>
      </w:r>
      <w:r w:rsidRPr="00EA2D19">
        <w:rPr>
          <w:sz w:val="24"/>
          <w:szCs w:val="24"/>
          <w:lang w:val="id-ID"/>
        </w:rPr>
        <w:t xml:space="preserve">, A. </w:t>
      </w:r>
      <w:r w:rsidRPr="00EA2D19">
        <w:rPr>
          <w:sz w:val="24"/>
          <w:szCs w:val="24"/>
        </w:rPr>
        <w:t>eds.</w:t>
      </w:r>
      <w:r w:rsidRPr="00EA2D19">
        <w:rPr>
          <w:sz w:val="24"/>
          <w:szCs w:val="24"/>
          <w:lang w:val="id-ID"/>
        </w:rPr>
        <w:t xml:space="preserve"> (1958</w:t>
      </w:r>
      <w:r w:rsidRPr="00EA2D19">
        <w:rPr>
          <w:sz w:val="24"/>
          <w:szCs w:val="24"/>
        </w:rPr>
        <w:t>)</w:t>
      </w:r>
      <w:r w:rsidRPr="00EA2D19">
        <w:rPr>
          <w:sz w:val="24"/>
          <w:szCs w:val="24"/>
          <w:lang w:val="id-ID"/>
        </w:rPr>
        <w:t>.</w:t>
      </w:r>
      <w:r w:rsidRPr="00EA2D19">
        <w:rPr>
          <w:sz w:val="24"/>
          <w:szCs w:val="24"/>
        </w:rPr>
        <w:t xml:space="preserve"> </w:t>
      </w:r>
      <w:r w:rsidRPr="00EA2D19">
        <w:rPr>
          <w:i/>
          <w:iCs/>
          <w:sz w:val="24"/>
          <w:szCs w:val="24"/>
        </w:rPr>
        <w:t>Classic in the Theory of Public Finance</w:t>
      </w:r>
      <w:r w:rsidRPr="00EA2D19">
        <w:rPr>
          <w:i/>
          <w:iCs/>
          <w:sz w:val="24"/>
          <w:szCs w:val="24"/>
          <w:lang w:val="id-ID"/>
        </w:rPr>
        <w:t>.</w:t>
      </w:r>
      <w:r w:rsidRPr="00EA2D19">
        <w:rPr>
          <w:i/>
          <w:iCs/>
          <w:sz w:val="24"/>
          <w:szCs w:val="24"/>
        </w:rPr>
        <w:t xml:space="preserve"> </w:t>
      </w:r>
      <w:r w:rsidRPr="00EA2D19">
        <w:rPr>
          <w:sz w:val="24"/>
          <w:szCs w:val="24"/>
        </w:rPr>
        <w:t>New York: Macmillan.</w:t>
      </w:r>
      <w:r w:rsidRPr="00EA2D19">
        <w:rPr>
          <w:sz w:val="24"/>
          <w:szCs w:val="24"/>
          <w:lang w:val="id-ID"/>
        </w:rPr>
        <w:t xml:space="preserve"> Available at: </w:t>
      </w:r>
      <w:hyperlink r:id="rId33" w:history="1">
        <w:r w:rsidR="00150F0A" w:rsidRPr="008B378B">
          <w:rPr>
            <w:rStyle w:val="Hyperlink"/>
            <w:i/>
            <w:iCs/>
            <w:sz w:val="24"/>
            <w:szCs w:val="24"/>
            <w:lang w:val="id-ID"/>
          </w:rPr>
          <w:t>http://www.palgrave.com/us/book/9780312121624</w:t>
        </w:r>
      </w:hyperlink>
      <w:r w:rsidRPr="00EA2D19">
        <w:rPr>
          <w:sz w:val="24"/>
          <w:szCs w:val="24"/>
          <w:lang w:val="id-ID"/>
        </w:rPr>
        <w:t>.</w:t>
      </w:r>
    </w:p>
    <w:p w:rsidR="00E830CB" w:rsidRPr="00EA2D19" w:rsidRDefault="00E830CB" w:rsidP="00413269">
      <w:pPr>
        <w:ind w:left="567" w:hanging="567"/>
        <w:jc w:val="both"/>
        <w:rPr>
          <w:sz w:val="24"/>
          <w:szCs w:val="24"/>
          <w:lang w:val="id-ID"/>
        </w:rPr>
      </w:pPr>
      <w:r w:rsidRPr="00EA2D19">
        <w:rPr>
          <w:sz w:val="24"/>
          <w:szCs w:val="24"/>
        </w:rPr>
        <w:t>Musgrave</w:t>
      </w:r>
      <w:r w:rsidRPr="00EA2D19">
        <w:rPr>
          <w:sz w:val="24"/>
          <w:szCs w:val="24"/>
          <w:lang w:val="id-ID"/>
        </w:rPr>
        <w:t>,</w:t>
      </w:r>
      <w:r w:rsidRPr="00EA2D19">
        <w:rPr>
          <w:sz w:val="24"/>
          <w:szCs w:val="24"/>
        </w:rPr>
        <w:t xml:space="preserve"> R</w:t>
      </w:r>
      <w:r w:rsidRPr="00EA2D19">
        <w:rPr>
          <w:sz w:val="24"/>
          <w:szCs w:val="24"/>
          <w:lang w:val="id-ID"/>
        </w:rPr>
        <w:t>.</w:t>
      </w:r>
      <w:r w:rsidRPr="00EA2D19">
        <w:rPr>
          <w:sz w:val="24"/>
          <w:szCs w:val="24"/>
        </w:rPr>
        <w:t>A.</w:t>
      </w:r>
      <w:r w:rsidRPr="00EA2D19">
        <w:rPr>
          <w:sz w:val="24"/>
          <w:szCs w:val="24"/>
          <w:lang w:val="id-ID"/>
        </w:rPr>
        <w:t xml:space="preserve"> (1959).</w:t>
      </w:r>
      <w:r w:rsidRPr="00EA2D19">
        <w:rPr>
          <w:sz w:val="24"/>
          <w:szCs w:val="24"/>
        </w:rPr>
        <w:t xml:space="preserve"> </w:t>
      </w:r>
      <w:r w:rsidRPr="00EA2D19">
        <w:rPr>
          <w:i/>
          <w:iCs/>
          <w:sz w:val="24"/>
          <w:szCs w:val="24"/>
        </w:rPr>
        <w:t>The Theory of Public Finance</w:t>
      </w:r>
      <w:r w:rsidRPr="00EA2D19">
        <w:rPr>
          <w:i/>
          <w:iCs/>
          <w:sz w:val="24"/>
          <w:szCs w:val="24"/>
          <w:lang w:val="id-ID"/>
        </w:rPr>
        <w:t>.</w:t>
      </w:r>
      <w:r w:rsidRPr="00EA2D19">
        <w:rPr>
          <w:sz w:val="24"/>
          <w:szCs w:val="24"/>
        </w:rPr>
        <w:t xml:space="preserve"> New York: McGraw-Hill. </w:t>
      </w:r>
      <w:r w:rsidRPr="00EA2D19">
        <w:rPr>
          <w:sz w:val="24"/>
          <w:szCs w:val="24"/>
          <w:lang w:val="id-ID"/>
        </w:rPr>
        <w:t xml:space="preserve">Available at: </w:t>
      </w:r>
      <w:hyperlink r:id="rId34" w:history="1">
        <w:r w:rsidRPr="00EA2D19">
          <w:rPr>
            <w:rStyle w:val="Hyperlink"/>
            <w:i/>
            <w:iCs/>
            <w:sz w:val="24"/>
            <w:szCs w:val="24"/>
            <w:lang w:val="id-ID"/>
          </w:rPr>
          <w:t>https://www.jstor.org/stable/2227672</w:t>
        </w:r>
      </w:hyperlink>
      <w:r w:rsidRPr="00EA2D19">
        <w:rPr>
          <w:i/>
          <w:iCs/>
          <w:sz w:val="24"/>
          <w:szCs w:val="24"/>
          <w:lang w:val="id-ID"/>
        </w:rPr>
        <w:t>.</w:t>
      </w:r>
    </w:p>
    <w:p w:rsidR="00E830CB" w:rsidRPr="00EA2D19" w:rsidRDefault="00E830CB" w:rsidP="00166BD3">
      <w:pPr>
        <w:ind w:left="567" w:hanging="567"/>
        <w:jc w:val="both"/>
        <w:rPr>
          <w:color w:val="222222"/>
          <w:sz w:val="24"/>
          <w:szCs w:val="24"/>
          <w:shd w:val="clear" w:color="auto" w:fill="FFFFFF"/>
          <w:lang w:val="id-ID"/>
        </w:rPr>
      </w:pPr>
      <w:r w:rsidRPr="00EA2D19">
        <w:rPr>
          <w:color w:val="222222"/>
          <w:sz w:val="24"/>
          <w:szCs w:val="24"/>
          <w:shd w:val="clear" w:color="auto" w:fill="FFFFFF"/>
          <w:lang w:val="id-ID"/>
        </w:rPr>
        <w:t xml:space="preserve">Nicola, M., Alsafi, Z., Sohrabi, C., Kerwan, A., Al-Jabir, A., Iosifidis, C., ... &amp; Agha, R. (2020). The socio-economic implications of the Coronavirus and COVID-19 pandemic: A Review. </w:t>
      </w:r>
      <w:r w:rsidRPr="00EA2D19">
        <w:rPr>
          <w:i/>
          <w:iCs/>
          <w:color w:val="222222"/>
          <w:sz w:val="24"/>
          <w:szCs w:val="24"/>
          <w:shd w:val="clear" w:color="auto" w:fill="FFFFFF"/>
          <w:lang w:val="id-ID"/>
        </w:rPr>
        <w:t>International Journal of Surgery,</w:t>
      </w:r>
      <w:r w:rsidRPr="00EA2D19">
        <w:rPr>
          <w:color w:val="222222"/>
          <w:sz w:val="24"/>
          <w:szCs w:val="24"/>
          <w:shd w:val="clear" w:color="auto" w:fill="FFFFFF"/>
          <w:lang w:val="id-ID"/>
        </w:rPr>
        <w:t xml:space="preserve"> 78, 185-193. DOI: </w:t>
      </w:r>
      <w:hyperlink r:id="rId35" w:history="1">
        <w:r w:rsidRPr="00EA2D19">
          <w:rPr>
            <w:rStyle w:val="Hyperlink"/>
            <w:sz w:val="24"/>
            <w:szCs w:val="24"/>
            <w:shd w:val="clear" w:color="auto" w:fill="FFFFFF"/>
            <w:lang w:val="id-ID"/>
          </w:rPr>
          <w:t>https://doi.org/10.1016/j.ijsu.2020.04.018</w:t>
        </w:r>
      </w:hyperlink>
      <w:r w:rsidRPr="00EA2D19">
        <w:rPr>
          <w:color w:val="222222"/>
          <w:sz w:val="24"/>
          <w:szCs w:val="24"/>
          <w:shd w:val="clear" w:color="auto" w:fill="FFFFFF"/>
          <w:lang w:val="id-ID"/>
        </w:rPr>
        <w:t>.</w:t>
      </w:r>
    </w:p>
    <w:p w:rsidR="00E830CB" w:rsidRPr="00EA2D19" w:rsidRDefault="00E830CB" w:rsidP="00374F9D">
      <w:pPr>
        <w:autoSpaceDE w:val="0"/>
        <w:autoSpaceDN w:val="0"/>
        <w:adjustRightInd w:val="0"/>
        <w:ind w:left="567" w:hanging="567"/>
        <w:jc w:val="both"/>
        <w:rPr>
          <w:color w:val="222222"/>
          <w:sz w:val="24"/>
          <w:szCs w:val="24"/>
          <w:shd w:val="clear" w:color="auto" w:fill="FFFFFF"/>
        </w:rPr>
      </w:pPr>
      <w:r w:rsidRPr="00EA2D19">
        <w:rPr>
          <w:sz w:val="24"/>
          <w:szCs w:val="24"/>
        </w:rPr>
        <w:t>Odendahl, C.</w:t>
      </w:r>
      <w:r w:rsidRPr="00EA2D19">
        <w:rPr>
          <w:sz w:val="24"/>
          <w:szCs w:val="24"/>
          <w:lang w:val="id-ID"/>
        </w:rPr>
        <w:t xml:space="preserve"> &amp;</w:t>
      </w:r>
      <w:r w:rsidRPr="00EA2D19">
        <w:rPr>
          <w:sz w:val="24"/>
          <w:szCs w:val="24"/>
        </w:rPr>
        <w:t xml:space="preserve"> Springford</w:t>
      </w:r>
      <w:r w:rsidRPr="00EA2D19">
        <w:rPr>
          <w:sz w:val="24"/>
          <w:szCs w:val="24"/>
          <w:lang w:val="id-ID"/>
        </w:rPr>
        <w:t>, J</w:t>
      </w:r>
      <w:r w:rsidRPr="00EA2D19">
        <w:rPr>
          <w:sz w:val="24"/>
          <w:szCs w:val="24"/>
        </w:rPr>
        <w:t xml:space="preserve">.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Bold Policies Needed to Counter the Coronavirus Recession. In </w:t>
      </w:r>
      <w:r w:rsidRPr="00EA2D19">
        <w:rPr>
          <w:i/>
          <w:iCs/>
          <w:sz w:val="24"/>
          <w:szCs w:val="24"/>
        </w:rPr>
        <w:t>Mitigating the COVID Economic Crisis: Act Fast and Do Whatever It Takes</w:t>
      </w:r>
      <w:r w:rsidRPr="00EA2D19">
        <w:rPr>
          <w:sz w:val="24"/>
          <w:szCs w:val="24"/>
        </w:rPr>
        <w:t xml:space="preserve">, </w:t>
      </w:r>
      <w:r w:rsidRPr="00EA2D19">
        <w:rPr>
          <w:sz w:val="24"/>
          <w:szCs w:val="24"/>
          <w:lang w:val="id-ID"/>
        </w:rPr>
        <w:t xml:space="preserve">pp. </w:t>
      </w:r>
      <w:r w:rsidRPr="00EA2D19">
        <w:rPr>
          <w:sz w:val="24"/>
          <w:szCs w:val="24"/>
        </w:rPr>
        <w:t>145</w:t>
      </w:r>
      <w:r w:rsidRPr="00EA2D19">
        <w:rPr>
          <w:sz w:val="24"/>
          <w:szCs w:val="24"/>
          <w:lang w:val="id-ID"/>
        </w:rPr>
        <w:t>-1</w:t>
      </w:r>
      <w:r w:rsidRPr="00EA2D19">
        <w:rPr>
          <w:sz w:val="24"/>
          <w:szCs w:val="24"/>
        </w:rPr>
        <w:t>50. Center for Economic Policy and Research. Washington, DC: CEPR Press.</w:t>
      </w:r>
    </w:p>
    <w:p w:rsidR="00E830CB" w:rsidRPr="00EA2D19" w:rsidRDefault="00E830CB" w:rsidP="00304E1E">
      <w:pPr>
        <w:pStyle w:val="TeksCatatanKaki"/>
        <w:ind w:left="567" w:hanging="567"/>
        <w:jc w:val="both"/>
        <w:rPr>
          <w:sz w:val="24"/>
          <w:szCs w:val="24"/>
          <w:lang w:val="id-ID"/>
        </w:rPr>
      </w:pPr>
      <w:r w:rsidRPr="00EA2D19">
        <w:rPr>
          <w:sz w:val="24"/>
          <w:szCs w:val="24"/>
        </w:rPr>
        <w:t>Oktavira</w:t>
      </w:r>
      <w:r w:rsidRPr="00EA2D19">
        <w:rPr>
          <w:sz w:val="24"/>
          <w:szCs w:val="24"/>
          <w:lang w:val="id-ID"/>
        </w:rPr>
        <w:t>, B.A. (2020).</w:t>
      </w:r>
      <w:r w:rsidRPr="00EA2D19">
        <w:rPr>
          <w:sz w:val="24"/>
          <w:szCs w:val="24"/>
        </w:rPr>
        <w:t xml:space="preserve"> Pemulihan Ekonomi Nasional untuk Menanggulangi Imbas Wabah COVID-19</w:t>
      </w:r>
      <w:r w:rsidRPr="00EA2D19">
        <w:rPr>
          <w:sz w:val="24"/>
          <w:szCs w:val="24"/>
          <w:lang w:val="id-ID"/>
        </w:rPr>
        <w:t xml:space="preserve">. </w:t>
      </w:r>
      <w:r w:rsidRPr="00EA2D19">
        <w:rPr>
          <w:i/>
          <w:iCs/>
          <w:sz w:val="24"/>
          <w:szCs w:val="24"/>
          <w:lang w:val="id-ID"/>
        </w:rPr>
        <w:t xml:space="preserve">Hukum Online </w:t>
      </w:r>
      <w:r w:rsidRPr="00EA2D19">
        <w:rPr>
          <w:sz w:val="24"/>
          <w:szCs w:val="24"/>
        </w:rPr>
        <w:t>(13 Maret 2020)</w:t>
      </w:r>
      <w:r w:rsidRPr="00EA2D19">
        <w:rPr>
          <w:sz w:val="24"/>
          <w:szCs w:val="24"/>
          <w:lang w:val="id-ID"/>
        </w:rPr>
        <w:t xml:space="preserve">. Available at: </w:t>
      </w:r>
      <w:hyperlink r:id="rId36" w:history="1">
        <w:r w:rsidRPr="00EA2D19">
          <w:rPr>
            <w:rStyle w:val="Hyperlink"/>
            <w:sz w:val="24"/>
            <w:szCs w:val="24"/>
          </w:rPr>
          <w:t>https://www.hukumonline.com/klinik/detail/ulasan/lt5ec37e128f962/pemulihan-ekonomi-nasional-untuk-menanggulangi-imbas-wabah-covid-19</w:t>
        </w:r>
      </w:hyperlink>
      <w:r w:rsidRPr="00EA2D19">
        <w:rPr>
          <w:sz w:val="24"/>
          <w:szCs w:val="24"/>
          <w:lang w:val="id-ID"/>
        </w:rPr>
        <w:t>.</w:t>
      </w:r>
    </w:p>
    <w:p w:rsidR="00E830CB" w:rsidRPr="00EA2D19" w:rsidRDefault="00E830CB" w:rsidP="00413269">
      <w:pPr>
        <w:pStyle w:val="TeksCatatanKaki"/>
        <w:ind w:left="567" w:hanging="567"/>
        <w:jc w:val="both"/>
        <w:rPr>
          <w:sz w:val="24"/>
          <w:szCs w:val="24"/>
          <w:lang w:val="id-ID"/>
        </w:rPr>
      </w:pPr>
      <w:r w:rsidRPr="00EA2D19">
        <w:rPr>
          <w:sz w:val="24"/>
          <w:szCs w:val="24"/>
        </w:rPr>
        <w:t>Pigau, A.C</w:t>
      </w:r>
      <w:r w:rsidRPr="00EA2D19">
        <w:rPr>
          <w:sz w:val="24"/>
          <w:szCs w:val="24"/>
          <w:lang w:val="id-ID"/>
        </w:rPr>
        <w:t>. (1951).</w:t>
      </w:r>
      <w:r w:rsidRPr="00EA2D19">
        <w:rPr>
          <w:i/>
          <w:iCs/>
          <w:sz w:val="24"/>
          <w:szCs w:val="24"/>
        </w:rPr>
        <w:t xml:space="preserve"> </w:t>
      </w:r>
      <w:r w:rsidRPr="00EA2D19">
        <w:rPr>
          <w:i/>
          <w:iCs/>
          <w:sz w:val="24"/>
          <w:szCs w:val="24"/>
          <w:lang w:val="id-ID"/>
        </w:rPr>
        <w:t>A</w:t>
      </w:r>
      <w:r w:rsidRPr="00EA2D19">
        <w:rPr>
          <w:i/>
          <w:iCs/>
          <w:sz w:val="24"/>
          <w:szCs w:val="24"/>
        </w:rPr>
        <w:t xml:space="preserve"> Study in Public Finance</w:t>
      </w:r>
      <w:r w:rsidRPr="00EA2D19">
        <w:rPr>
          <w:i/>
          <w:iCs/>
          <w:sz w:val="24"/>
          <w:szCs w:val="24"/>
          <w:lang w:val="id-ID"/>
        </w:rPr>
        <w:t>.</w:t>
      </w:r>
      <w:r w:rsidRPr="00EA2D19">
        <w:rPr>
          <w:i/>
          <w:iCs/>
          <w:sz w:val="24"/>
          <w:szCs w:val="24"/>
        </w:rPr>
        <w:t xml:space="preserve"> </w:t>
      </w:r>
      <w:r w:rsidRPr="00EA2D19">
        <w:rPr>
          <w:sz w:val="24"/>
          <w:szCs w:val="24"/>
        </w:rPr>
        <w:t>London: Macmillan</w:t>
      </w:r>
      <w:r w:rsidRPr="00EA2D19">
        <w:rPr>
          <w:sz w:val="24"/>
          <w:szCs w:val="24"/>
          <w:lang w:val="id-ID"/>
        </w:rPr>
        <w:t>.</w:t>
      </w:r>
      <w:r w:rsidRPr="00EA2D19">
        <w:rPr>
          <w:sz w:val="24"/>
          <w:szCs w:val="24"/>
        </w:rPr>
        <w:t xml:space="preserve"> </w:t>
      </w:r>
      <w:r w:rsidRPr="00EA2D19">
        <w:rPr>
          <w:sz w:val="24"/>
          <w:szCs w:val="24"/>
          <w:lang w:val="id-ID"/>
        </w:rPr>
        <w:t xml:space="preserve">Available at: </w:t>
      </w:r>
      <w:hyperlink r:id="rId37" w:history="1">
        <w:r w:rsidRPr="00EA2D19">
          <w:rPr>
            <w:rStyle w:val="Hyperlink"/>
            <w:i/>
            <w:iCs/>
            <w:sz w:val="24"/>
            <w:szCs w:val="24"/>
            <w:lang w:val="id-ID"/>
          </w:rPr>
          <w:t>https://archive.org/details/AStudyInPublicFinance</w:t>
        </w:r>
      </w:hyperlink>
      <w:r w:rsidRPr="00EA2D19">
        <w:rPr>
          <w:i/>
          <w:iCs/>
          <w:sz w:val="24"/>
          <w:szCs w:val="24"/>
          <w:lang w:val="id-ID"/>
        </w:rPr>
        <w:t>.</w:t>
      </w:r>
    </w:p>
    <w:p w:rsidR="00E830CB" w:rsidRPr="00EA2D19" w:rsidRDefault="00E830CB" w:rsidP="00413269">
      <w:pPr>
        <w:pStyle w:val="TeksCatatanKaki"/>
        <w:ind w:left="567" w:hanging="567"/>
        <w:jc w:val="both"/>
        <w:rPr>
          <w:color w:val="006621"/>
          <w:sz w:val="24"/>
          <w:szCs w:val="24"/>
          <w:shd w:val="clear" w:color="auto" w:fill="FFFFFF"/>
          <w:lang w:val="id-ID"/>
        </w:rPr>
      </w:pPr>
      <w:r w:rsidRPr="00EA2D19">
        <w:rPr>
          <w:sz w:val="24"/>
          <w:szCs w:val="24"/>
        </w:rPr>
        <w:t>Ramsey</w:t>
      </w:r>
      <w:r w:rsidRPr="00EA2D19">
        <w:rPr>
          <w:sz w:val="24"/>
          <w:szCs w:val="24"/>
          <w:lang w:val="id-ID"/>
        </w:rPr>
        <w:t>,</w:t>
      </w:r>
      <w:r w:rsidRPr="00EA2D19">
        <w:rPr>
          <w:sz w:val="24"/>
          <w:szCs w:val="24"/>
        </w:rPr>
        <w:t xml:space="preserve"> F.P.</w:t>
      </w:r>
      <w:r w:rsidRPr="00EA2D19">
        <w:rPr>
          <w:sz w:val="24"/>
          <w:szCs w:val="24"/>
          <w:lang w:val="id-ID"/>
        </w:rPr>
        <w:t xml:space="preserve"> (1927). A</w:t>
      </w:r>
      <w:r w:rsidRPr="00EA2D19">
        <w:rPr>
          <w:sz w:val="24"/>
          <w:szCs w:val="24"/>
        </w:rPr>
        <w:t xml:space="preserve"> Contribution to the Theory of Taxation</w:t>
      </w:r>
      <w:r w:rsidRPr="00EA2D19">
        <w:rPr>
          <w:sz w:val="24"/>
          <w:szCs w:val="24"/>
          <w:lang w:val="id-ID"/>
        </w:rPr>
        <w:t xml:space="preserve">. </w:t>
      </w:r>
      <w:r w:rsidRPr="00EA2D19">
        <w:rPr>
          <w:i/>
          <w:iCs/>
          <w:sz w:val="24"/>
          <w:szCs w:val="24"/>
        </w:rPr>
        <w:t>Economic Journal</w:t>
      </w:r>
      <w:r w:rsidRPr="00EA2D19">
        <w:rPr>
          <w:i/>
          <w:iCs/>
          <w:sz w:val="24"/>
          <w:szCs w:val="24"/>
          <w:lang w:val="id-ID"/>
        </w:rPr>
        <w:t>,</w:t>
      </w:r>
      <w:r w:rsidRPr="00EA2D19">
        <w:rPr>
          <w:i/>
          <w:iCs/>
          <w:sz w:val="24"/>
          <w:szCs w:val="24"/>
        </w:rPr>
        <w:t xml:space="preserve"> </w:t>
      </w:r>
      <w:r w:rsidRPr="00EA2D19">
        <w:rPr>
          <w:sz w:val="24"/>
          <w:szCs w:val="24"/>
        </w:rPr>
        <w:t>37.</w:t>
      </w:r>
      <w:r w:rsidRPr="00EA2D19">
        <w:rPr>
          <w:sz w:val="24"/>
          <w:szCs w:val="24"/>
          <w:lang w:val="id-ID"/>
        </w:rPr>
        <w:t xml:space="preserve"> Available at: </w:t>
      </w:r>
      <w:hyperlink r:id="rId38" w:history="1">
        <w:r w:rsidRPr="00EA2D19">
          <w:rPr>
            <w:rStyle w:val="Hyperlink"/>
            <w:i/>
            <w:iCs/>
            <w:sz w:val="24"/>
            <w:szCs w:val="24"/>
            <w:shd w:val="clear" w:color="auto" w:fill="FFFFFF"/>
          </w:rPr>
          <w:t>https://www.jstor.org/stable/2222721</w:t>
        </w:r>
      </w:hyperlink>
      <w:r w:rsidRPr="00EA2D19">
        <w:rPr>
          <w:i/>
          <w:iCs/>
          <w:color w:val="006621"/>
          <w:sz w:val="24"/>
          <w:szCs w:val="24"/>
          <w:shd w:val="clear" w:color="auto" w:fill="FFFFFF"/>
          <w:lang w:val="id-ID"/>
        </w:rPr>
        <w:t>.</w:t>
      </w:r>
    </w:p>
    <w:p w:rsidR="00E830CB" w:rsidRPr="00EA2D19" w:rsidRDefault="00E830CB" w:rsidP="00C14069">
      <w:pPr>
        <w:ind w:left="567" w:hanging="567"/>
        <w:jc w:val="both"/>
        <w:rPr>
          <w:sz w:val="24"/>
          <w:szCs w:val="24"/>
          <w:lang w:val="id-ID"/>
        </w:rPr>
      </w:pPr>
      <w:r w:rsidRPr="00EA2D19">
        <w:rPr>
          <w:sz w:val="24"/>
          <w:szCs w:val="24"/>
          <w:lang w:val="id-ID"/>
        </w:rPr>
        <w:t>Rauf, I. F. A. (2015). The Maqasid, Reform, and Renewal. In </w:t>
      </w:r>
      <w:r w:rsidRPr="00EA2D19">
        <w:rPr>
          <w:i/>
          <w:iCs/>
          <w:sz w:val="24"/>
          <w:szCs w:val="24"/>
          <w:lang w:val="id-ID"/>
        </w:rPr>
        <w:t>Defining Islamic Statehood</w:t>
      </w:r>
      <w:r w:rsidRPr="00EA2D19">
        <w:rPr>
          <w:sz w:val="24"/>
          <w:szCs w:val="24"/>
          <w:lang w:val="id-ID"/>
        </w:rPr>
        <w:t> (pp. 200-273). London: Palgrave Macmillan.</w:t>
      </w:r>
    </w:p>
    <w:p w:rsidR="00E830CB" w:rsidRPr="00EA2D19" w:rsidRDefault="00E830CB" w:rsidP="00413269">
      <w:pPr>
        <w:pStyle w:val="TeksCatatanKaki"/>
        <w:ind w:left="567" w:hanging="567"/>
        <w:jc w:val="both"/>
        <w:rPr>
          <w:sz w:val="24"/>
          <w:szCs w:val="24"/>
          <w:lang w:val="id-ID"/>
        </w:rPr>
      </w:pPr>
      <w:r w:rsidRPr="00EA2D19">
        <w:rPr>
          <w:sz w:val="24"/>
          <w:szCs w:val="24"/>
        </w:rPr>
        <w:t>Ro</w:t>
      </w:r>
      <w:r w:rsidRPr="00EA2D19">
        <w:rPr>
          <w:sz w:val="24"/>
          <w:szCs w:val="24"/>
          <w:lang w:val="id-ID"/>
        </w:rPr>
        <w:t>s</w:t>
      </w:r>
      <w:r w:rsidRPr="00EA2D19">
        <w:rPr>
          <w:sz w:val="24"/>
          <w:szCs w:val="24"/>
        </w:rPr>
        <w:t>sen</w:t>
      </w:r>
      <w:r w:rsidRPr="00EA2D19">
        <w:rPr>
          <w:sz w:val="24"/>
          <w:szCs w:val="24"/>
          <w:lang w:val="id-ID"/>
        </w:rPr>
        <w:t>,</w:t>
      </w:r>
      <w:r w:rsidRPr="00EA2D19">
        <w:rPr>
          <w:sz w:val="24"/>
          <w:szCs w:val="24"/>
        </w:rPr>
        <w:t xml:space="preserve"> H</w:t>
      </w:r>
      <w:r w:rsidRPr="00EA2D19">
        <w:rPr>
          <w:sz w:val="24"/>
          <w:szCs w:val="24"/>
          <w:lang w:val="id-ID"/>
        </w:rPr>
        <w:t>.</w:t>
      </w:r>
      <w:r w:rsidRPr="00EA2D19">
        <w:rPr>
          <w:sz w:val="24"/>
          <w:szCs w:val="24"/>
        </w:rPr>
        <w:t>S. &amp; Gayer,</w:t>
      </w:r>
      <w:r w:rsidRPr="00EA2D19">
        <w:rPr>
          <w:sz w:val="24"/>
          <w:szCs w:val="24"/>
          <w:lang w:val="id-ID"/>
        </w:rPr>
        <w:t xml:space="preserve"> T. (2008).</w:t>
      </w:r>
      <w:r w:rsidRPr="00EA2D19">
        <w:rPr>
          <w:sz w:val="24"/>
          <w:szCs w:val="24"/>
        </w:rPr>
        <w:t xml:space="preserve"> </w:t>
      </w:r>
      <w:r w:rsidRPr="00EA2D19">
        <w:rPr>
          <w:i/>
          <w:iCs/>
          <w:sz w:val="24"/>
          <w:szCs w:val="24"/>
        </w:rPr>
        <w:t>Public Finance</w:t>
      </w:r>
      <w:r w:rsidRPr="00EA2D19">
        <w:rPr>
          <w:i/>
          <w:iCs/>
          <w:sz w:val="24"/>
          <w:szCs w:val="24"/>
          <w:lang w:val="id-ID"/>
        </w:rPr>
        <w:t>.</w:t>
      </w:r>
      <w:r w:rsidRPr="00EA2D19">
        <w:rPr>
          <w:i/>
          <w:iCs/>
          <w:sz w:val="24"/>
          <w:szCs w:val="24"/>
        </w:rPr>
        <w:t xml:space="preserve"> </w:t>
      </w:r>
      <w:r w:rsidRPr="00EA2D19">
        <w:rPr>
          <w:sz w:val="24"/>
          <w:szCs w:val="24"/>
        </w:rPr>
        <w:t>New York: McGraw-Hill</w:t>
      </w:r>
      <w:r w:rsidRPr="00EA2D19">
        <w:rPr>
          <w:sz w:val="24"/>
          <w:szCs w:val="24"/>
          <w:lang w:val="id-ID"/>
        </w:rPr>
        <w:t xml:space="preserve">. Available at: </w:t>
      </w:r>
      <w:hyperlink r:id="rId39" w:history="1">
        <w:r w:rsidRPr="00EA2D19">
          <w:rPr>
            <w:rStyle w:val="Hyperlink"/>
            <w:i/>
            <w:iCs/>
            <w:sz w:val="24"/>
            <w:szCs w:val="24"/>
            <w:lang w:val="id-ID"/>
          </w:rPr>
          <w:t>http://ww.fintp.hr/upload/files/ftp/2008/1/primorac.pdf</w:t>
        </w:r>
      </w:hyperlink>
      <w:r w:rsidRPr="00EA2D19">
        <w:rPr>
          <w:i/>
          <w:iCs/>
          <w:sz w:val="24"/>
          <w:szCs w:val="24"/>
          <w:lang w:val="id-ID"/>
        </w:rPr>
        <w:t>.</w:t>
      </w:r>
    </w:p>
    <w:p w:rsidR="00E830CB" w:rsidRPr="00EA2D19" w:rsidRDefault="00E830CB" w:rsidP="00413269">
      <w:pPr>
        <w:ind w:left="567" w:hanging="567"/>
        <w:jc w:val="both"/>
        <w:rPr>
          <w:sz w:val="24"/>
          <w:szCs w:val="24"/>
          <w:lang w:val="id-ID"/>
        </w:rPr>
      </w:pPr>
      <w:r w:rsidRPr="00EA2D19">
        <w:rPr>
          <w:sz w:val="24"/>
          <w:szCs w:val="24"/>
        </w:rPr>
        <w:t>Rossen</w:t>
      </w:r>
      <w:r w:rsidRPr="00EA2D19">
        <w:rPr>
          <w:sz w:val="24"/>
          <w:szCs w:val="24"/>
          <w:lang w:val="id-ID"/>
        </w:rPr>
        <w:t>,</w:t>
      </w:r>
      <w:r w:rsidRPr="00EA2D19">
        <w:rPr>
          <w:sz w:val="24"/>
          <w:szCs w:val="24"/>
        </w:rPr>
        <w:t xml:space="preserve"> H</w:t>
      </w:r>
      <w:r w:rsidRPr="00EA2D19">
        <w:rPr>
          <w:sz w:val="24"/>
          <w:szCs w:val="24"/>
          <w:lang w:val="id-ID"/>
        </w:rPr>
        <w:t>.</w:t>
      </w:r>
      <w:r w:rsidRPr="00EA2D19">
        <w:rPr>
          <w:sz w:val="24"/>
          <w:szCs w:val="24"/>
        </w:rPr>
        <w:t xml:space="preserve">S. </w:t>
      </w:r>
      <w:r w:rsidRPr="00EA2D19">
        <w:rPr>
          <w:sz w:val="24"/>
          <w:szCs w:val="24"/>
          <w:lang w:val="id-ID"/>
        </w:rPr>
        <w:t xml:space="preserve">(2002). </w:t>
      </w:r>
      <w:r w:rsidRPr="00EA2D19">
        <w:rPr>
          <w:i/>
          <w:iCs/>
          <w:sz w:val="24"/>
          <w:szCs w:val="24"/>
        </w:rPr>
        <w:t>Public Finance: Essay for the Encyclopedia of Public Choice</w:t>
      </w:r>
      <w:r w:rsidRPr="00EA2D19">
        <w:rPr>
          <w:i/>
          <w:iCs/>
          <w:sz w:val="24"/>
          <w:szCs w:val="24"/>
          <w:lang w:val="id-ID"/>
        </w:rPr>
        <w:t>.</w:t>
      </w:r>
      <w:r w:rsidRPr="00EA2D19">
        <w:rPr>
          <w:sz w:val="24"/>
          <w:szCs w:val="24"/>
        </w:rPr>
        <w:t xml:space="preserve"> Princeton University: CEPS Working Paper No. 80</w:t>
      </w:r>
      <w:r w:rsidRPr="00EA2D19">
        <w:rPr>
          <w:sz w:val="24"/>
          <w:szCs w:val="24"/>
          <w:lang w:val="id-ID"/>
        </w:rPr>
        <w:t xml:space="preserve">. Available at: </w:t>
      </w:r>
      <w:hyperlink r:id="rId40" w:history="1">
        <w:r w:rsidRPr="00EA2D19">
          <w:rPr>
            <w:rStyle w:val="Hyperlink"/>
            <w:i/>
            <w:iCs/>
            <w:sz w:val="24"/>
            <w:szCs w:val="24"/>
            <w:lang w:val="id-ID"/>
          </w:rPr>
          <w:t>https://www.princeton.edu/ceps/workingpapers/80rosen.pdf</w:t>
        </w:r>
      </w:hyperlink>
      <w:r w:rsidRPr="00EA2D19">
        <w:rPr>
          <w:i/>
          <w:iCs/>
          <w:sz w:val="24"/>
          <w:szCs w:val="24"/>
          <w:lang w:val="id-ID"/>
        </w:rPr>
        <w:t>.</w:t>
      </w:r>
    </w:p>
    <w:p w:rsidR="00E830CB" w:rsidRPr="00EA2D19" w:rsidRDefault="00E830CB" w:rsidP="00413269">
      <w:pPr>
        <w:pStyle w:val="TeksCatatanKaki"/>
        <w:ind w:left="567" w:hanging="567"/>
        <w:jc w:val="both"/>
        <w:rPr>
          <w:sz w:val="24"/>
          <w:szCs w:val="24"/>
          <w:lang w:val="id-ID"/>
        </w:rPr>
      </w:pPr>
      <w:r w:rsidRPr="00EA2D19">
        <w:rPr>
          <w:sz w:val="24"/>
          <w:szCs w:val="24"/>
        </w:rPr>
        <w:t>Salanie</w:t>
      </w:r>
      <w:r w:rsidRPr="00EA2D19">
        <w:rPr>
          <w:sz w:val="24"/>
          <w:szCs w:val="24"/>
          <w:lang w:val="id-ID"/>
        </w:rPr>
        <w:t>,</w:t>
      </w:r>
      <w:r w:rsidRPr="00EA2D19">
        <w:rPr>
          <w:sz w:val="24"/>
          <w:szCs w:val="24"/>
        </w:rPr>
        <w:t xml:space="preserve"> B</w:t>
      </w:r>
      <w:r w:rsidRPr="00EA2D19">
        <w:rPr>
          <w:sz w:val="24"/>
          <w:szCs w:val="24"/>
          <w:lang w:val="id-ID"/>
        </w:rPr>
        <w:t>. (2000).</w:t>
      </w:r>
      <w:r w:rsidRPr="00EA2D19">
        <w:rPr>
          <w:sz w:val="24"/>
          <w:szCs w:val="24"/>
        </w:rPr>
        <w:t xml:space="preserve"> </w:t>
      </w:r>
      <w:r w:rsidRPr="00EA2D19">
        <w:rPr>
          <w:i/>
          <w:iCs/>
          <w:sz w:val="24"/>
          <w:szCs w:val="24"/>
        </w:rPr>
        <w:t>Microeconomics of Market Failure</w:t>
      </w:r>
      <w:r w:rsidRPr="00EA2D19">
        <w:rPr>
          <w:i/>
          <w:iCs/>
          <w:sz w:val="24"/>
          <w:szCs w:val="24"/>
          <w:lang w:val="id-ID"/>
        </w:rPr>
        <w:t>.</w:t>
      </w:r>
      <w:r w:rsidRPr="00EA2D19">
        <w:rPr>
          <w:i/>
          <w:iCs/>
          <w:sz w:val="24"/>
          <w:szCs w:val="24"/>
        </w:rPr>
        <w:t xml:space="preserve"> </w:t>
      </w:r>
      <w:r w:rsidRPr="00EA2D19">
        <w:rPr>
          <w:sz w:val="24"/>
          <w:szCs w:val="24"/>
        </w:rPr>
        <w:t>Cambridge MA: MIT Press</w:t>
      </w:r>
      <w:r w:rsidRPr="00EA2D19">
        <w:rPr>
          <w:sz w:val="24"/>
          <w:szCs w:val="24"/>
          <w:lang w:val="id-ID"/>
        </w:rPr>
        <w:t xml:space="preserve">. Available at: </w:t>
      </w:r>
      <w:hyperlink r:id="rId41" w:history="1">
        <w:r w:rsidRPr="00EA2D19">
          <w:rPr>
            <w:rStyle w:val="Hyperlink"/>
            <w:i/>
            <w:iCs/>
            <w:sz w:val="24"/>
            <w:szCs w:val="24"/>
            <w:lang w:val="id-ID"/>
          </w:rPr>
          <w:t>https://mitpress.mit.edu/books/microeconomics-market-failures</w:t>
        </w:r>
      </w:hyperlink>
      <w:r w:rsidRPr="00EA2D19">
        <w:rPr>
          <w:i/>
          <w:iCs/>
          <w:sz w:val="24"/>
          <w:szCs w:val="24"/>
          <w:lang w:val="id-ID"/>
        </w:rPr>
        <w:t>.</w:t>
      </w:r>
    </w:p>
    <w:p w:rsidR="00E830CB" w:rsidRPr="00EA2D19" w:rsidRDefault="00E830CB" w:rsidP="00413269">
      <w:pPr>
        <w:pStyle w:val="TeksCatatanKaki"/>
        <w:ind w:left="567" w:hanging="567"/>
        <w:jc w:val="both"/>
        <w:rPr>
          <w:sz w:val="24"/>
          <w:szCs w:val="24"/>
          <w:lang w:val="id-ID"/>
        </w:rPr>
      </w:pPr>
      <w:r w:rsidRPr="00EA2D19">
        <w:rPr>
          <w:sz w:val="24"/>
          <w:szCs w:val="24"/>
        </w:rPr>
        <w:t>Samuelson</w:t>
      </w:r>
      <w:r w:rsidRPr="00EA2D19">
        <w:rPr>
          <w:sz w:val="24"/>
          <w:szCs w:val="24"/>
          <w:lang w:val="id-ID"/>
        </w:rPr>
        <w:t>,</w:t>
      </w:r>
      <w:r w:rsidRPr="00EA2D19">
        <w:rPr>
          <w:sz w:val="24"/>
          <w:szCs w:val="24"/>
        </w:rPr>
        <w:t xml:space="preserve"> P</w:t>
      </w:r>
      <w:r w:rsidRPr="00EA2D19">
        <w:rPr>
          <w:sz w:val="24"/>
          <w:szCs w:val="24"/>
          <w:lang w:val="id-ID"/>
        </w:rPr>
        <w:t xml:space="preserve">.A. (1954). </w:t>
      </w:r>
      <w:r w:rsidRPr="00EA2D19">
        <w:rPr>
          <w:sz w:val="24"/>
          <w:szCs w:val="24"/>
        </w:rPr>
        <w:t>The Pure Theory of Public Expenditure</w:t>
      </w:r>
      <w:r w:rsidRPr="00EA2D19">
        <w:rPr>
          <w:sz w:val="24"/>
          <w:szCs w:val="24"/>
          <w:lang w:val="id-ID"/>
        </w:rPr>
        <w:t xml:space="preserve">. </w:t>
      </w:r>
      <w:r w:rsidRPr="00EA2D19">
        <w:rPr>
          <w:i/>
          <w:iCs/>
          <w:sz w:val="24"/>
          <w:szCs w:val="24"/>
        </w:rPr>
        <w:t>Review of Economics and Statistics</w:t>
      </w:r>
      <w:r w:rsidRPr="00EA2D19">
        <w:rPr>
          <w:i/>
          <w:iCs/>
          <w:sz w:val="24"/>
          <w:szCs w:val="24"/>
          <w:lang w:val="id-ID"/>
        </w:rPr>
        <w:t>,</w:t>
      </w:r>
      <w:r w:rsidRPr="00EA2D19">
        <w:rPr>
          <w:i/>
          <w:iCs/>
          <w:sz w:val="24"/>
          <w:szCs w:val="24"/>
        </w:rPr>
        <w:t xml:space="preserve"> </w:t>
      </w:r>
      <w:r w:rsidRPr="00EA2D19">
        <w:rPr>
          <w:sz w:val="24"/>
          <w:szCs w:val="24"/>
        </w:rPr>
        <w:t>36</w:t>
      </w:r>
      <w:r w:rsidRPr="00EA2D19">
        <w:rPr>
          <w:sz w:val="24"/>
          <w:szCs w:val="24"/>
          <w:lang w:val="id-ID"/>
        </w:rPr>
        <w:t>.</w:t>
      </w:r>
      <w:r w:rsidRPr="00EA2D19">
        <w:rPr>
          <w:sz w:val="24"/>
          <w:szCs w:val="24"/>
        </w:rPr>
        <w:t xml:space="preserve"> </w:t>
      </w:r>
      <w:r w:rsidRPr="00EA2D19">
        <w:rPr>
          <w:sz w:val="24"/>
          <w:szCs w:val="24"/>
          <w:lang w:val="id-ID"/>
        </w:rPr>
        <w:t xml:space="preserve">Available at: </w:t>
      </w:r>
      <w:hyperlink r:id="rId42" w:history="1">
        <w:r w:rsidRPr="00EA2D19">
          <w:rPr>
            <w:rStyle w:val="Hyperlink"/>
            <w:i/>
            <w:iCs/>
            <w:sz w:val="24"/>
            <w:szCs w:val="24"/>
            <w:lang w:val="id-ID"/>
          </w:rPr>
          <w:t>https://www.jstor.org/stable/1925895</w:t>
        </w:r>
      </w:hyperlink>
      <w:r w:rsidRPr="00EA2D19">
        <w:rPr>
          <w:i/>
          <w:iCs/>
          <w:sz w:val="24"/>
          <w:szCs w:val="24"/>
          <w:lang w:val="id-ID"/>
        </w:rPr>
        <w:t>.</w:t>
      </w:r>
    </w:p>
    <w:p w:rsidR="00E830CB" w:rsidRPr="00EA2D19" w:rsidRDefault="00E830CB" w:rsidP="00413269">
      <w:pPr>
        <w:autoSpaceDE w:val="0"/>
        <w:autoSpaceDN w:val="0"/>
        <w:adjustRightInd w:val="0"/>
        <w:ind w:left="567" w:hanging="567"/>
        <w:jc w:val="both"/>
        <w:rPr>
          <w:sz w:val="24"/>
          <w:szCs w:val="24"/>
          <w:lang w:val="id-ID"/>
        </w:rPr>
      </w:pPr>
      <w:r w:rsidRPr="00EA2D19">
        <w:rPr>
          <w:sz w:val="24"/>
          <w:szCs w:val="24"/>
        </w:rPr>
        <w:t>Samuelson, P</w:t>
      </w:r>
      <w:r w:rsidRPr="00EA2D19">
        <w:rPr>
          <w:sz w:val="24"/>
          <w:szCs w:val="24"/>
          <w:lang w:val="id-ID"/>
        </w:rPr>
        <w:t>.</w:t>
      </w:r>
      <w:r w:rsidRPr="00EA2D19">
        <w:rPr>
          <w:sz w:val="24"/>
          <w:szCs w:val="24"/>
        </w:rPr>
        <w:t>A.</w:t>
      </w:r>
      <w:r w:rsidRPr="00EA2D19">
        <w:rPr>
          <w:sz w:val="24"/>
          <w:szCs w:val="24"/>
          <w:lang w:val="id-ID"/>
        </w:rPr>
        <w:t xml:space="preserve"> (2008). </w:t>
      </w:r>
      <w:r w:rsidRPr="00EA2D19">
        <w:rPr>
          <w:i/>
          <w:iCs/>
          <w:sz w:val="24"/>
          <w:szCs w:val="24"/>
        </w:rPr>
        <w:t>Economics</w:t>
      </w:r>
      <w:r w:rsidRPr="00EA2D19">
        <w:rPr>
          <w:i/>
          <w:iCs/>
          <w:sz w:val="24"/>
          <w:szCs w:val="24"/>
          <w:lang w:val="id-ID"/>
        </w:rPr>
        <w:t>.</w:t>
      </w:r>
      <w:r w:rsidRPr="00EA2D19">
        <w:rPr>
          <w:i/>
          <w:iCs/>
          <w:sz w:val="24"/>
          <w:szCs w:val="24"/>
        </w:rPr>
        <w:t xml:space="preserve"> </w:t>
      </w:r>
      <w:r w:rsidRPr="00EA2D19">
        <w:rPr>
          <w:sz w:val="24"/>
          <w:szCs w:val="24"/>
        </w:rPr>
        <w:t>New York: McGraw-Hill Book Company</w:t>
      </w:r>
      <w:r w:rsidRPr="00EA2D19">
        <w:rPr>
          <w:sz w:val="24"/>
          <w:szCs w:val="24"/>
          <w:lang w:val="id-ID"/>
        </w:rPr>
        <w:t xml:space="preserve">. Available at: </w:t>
      </w:r>
      <w:hyperlink r:id="rId43" w:history="1">
        <w:r w:rsidRPr="00EA2D19">
          <w:rPr>
            <w:rStyle w:val="Hyperlink"/>
            <w:i/>
            <w:iCs/>
            <w:sz w:val="24"/>
            <w:szCs w:val="24"/>
            <w:lang w:val="id-ID"/>
          </w:rPr>
          <w:t>https://ideas.repec.org/e/psa57.html</w:t>
        </w:r>
      </w:hyperlink>
      <w:r w:rsidRPr="00EA2D19">
        <w:rPr>
          <w:i/>
          <w:iCs/>
          <w:sz w:val="24"/>
          <w:szCs w:val="24"/>
          <w:lang w:val="id-ID"/>
        </w:rPr>
        <w:t>.</w:t>
      </w:r>
    </w:p>
    <w:p w:rsidR="00E830CB" w:rsidRPr="00EA2D19" w:rsidRDefault="00E830CB" w:rsidP="00413269">
      <w:pPr>
        <w:pStyle w:val="TeksCatatanKaki"/>
        <w:ind w:left="567" w:hanging="567"/>
        <w:jc w:val="both"/>
        <w:rPr>
          <w:sz w:val="24"/>
          <w:szCs w:val="24"/>
          <w:lang w:val="id-ID"/>
        </w:rPr>
      </w:pPr>
      <w:r w:rsidRPr="00EA2D19">
        <w:rPr>
          <w:sz w:val="24"/>
          <w:szCs w:val="24"/>
        </w:rPr>
        <w:lastRenderedPageBreak/>
        <w:t>Soediyono</w:t>
      </w:r>
      <w:r w:rsidRPr="00EA2D19">
        <w:rPr>
          <w:sz w:val="24"/>
          <w:szCs w:val="24"/>
          <w:lang w:val="id-ID"/>
        </w:rPr>
        <w:t>,</w:t>
      </w:r>
      <w:r w:rsidRPr="00EA2D19">
        <w:rPr>
          <w:sz w:val="24"/>
          <w:szCs w:val="24"/>
        </w:rPr>
        <w:t xml:space="preserve"> R.</w:t>
      </w:r>
      <w:r w:rsidRPr="00EA2D19">
        <w:rPr>
          <w:sz w:val="24"/>
          <w:szCs w:val="24"/>
          <w:lang w:val="id-ID"/>
        </w:rPr>
        <w:t xml:space="preserve"> (1992). </w:t>
      </w:r>
      <w:r w:rsidRPr="00EA2D19">
        <w:rPr>
          <w:i/>
          <w:iCs/>
          <w:sz w:val="24"/>
          <w:szCs w:val="24"/>
          <w:lang w:val="id-ID"/>
        </w:rPr>
        <w:t>Macroeconomic: Introduction of National Budget Analysis.</w:t>
      </w:r>
      <w:r w:rsidRPr="00EA2D19">
        <w:rPr>
          <w:i/>
          <w:iCs/>
          <w:sz w:val="24"/>
          <w:szCs w:val="24"/>
        </w:rPr>
        <w:t xml:space="preserve"> </w:t>
      </w:r>
      <w:r w:rsidRPr="00EA2D19">
        <w:rPr>
          <w:sz w:val="24"/>
          <w:szCs w:val="24"/>
        </w:rPr>
        <w:t>Yogyakarta: Liberty</w:t>
      </w:r>
      <w:r w:rsidRPr="00EA2D19">
        <w:rPr>
          <w:sz w:val="24"/>
          <w:szCs w:val="24"/>
          <w:lang w:val="id-ID"/>
        </w:rPr>
        <w:t>.</w:t>
      </w:r>
    </w:p>
    <w:p w:rsidR="00E830CB" w:rsidRPr="00EA2D19" w:rsidRDefault="00E830CB" w:rsidP="00413269">
      <w:pPr>
        <w:pStyle w:val="TeksCatatanKaki"/>
        <w:ind w:left="567" w:hanging="567"/>
        <w:jc w:val="both"/>
        <w:rPr>
          <w:sz w:val="24"/>
          <w:szCs w:val="24"/>
          <w:lang w:val="id-ID"/>
        </w:rPr>
      </w:pPr>
      <w:r w:rsidRPr="00EA2D19">
        <w:rPr>
          <w:sz w:val="24"/>
          <w:szCs w:val="24"/>
          <w:lang w:val="es-ES"/>
        </w:rPr>
        <w:t>Soetrisno</w:t>
      </w:r>
      <w:r w:rsidRPr="00EA2D19">
        <w:rPr>
          <w:sz w:val="24"/>
          <w:szCs w:val="24"/>
          <w:lang w:val="id-ID"/>
        </w:rPr>
        <w:t xml:space="preserve"> PH. (1981).</w:t>
      </w:r>
      <w:r w:rsidRPr="00EA2D19">
        <w:rPr>
          <w:sz w:val="24"/>
          <w:szCs w:val="24"/>
          <w:lang w:val="es-ES"/>
        </w:rPr>
        <w:t xml:space="preserve"> </w:t>
      </w:r>
      <w:r w:rsidRPr="00EA2D19">
        <w:rPr>
          <w:i/>
          <w:iCs/>
          <w:sz w:val="24"/>
          <w:szCs w:val="24"/>
          <w:lang w:val="id-ID"/>
        </w:rPr>
        <w:t>Principles of Public Finance.</w:t>
      </w:r>
      <w:r w:rsidRPr="00EA2D19">
        <w:rPr>
          <w:i/>
          <w:iCs/>
          <w:sz w:val="24"/>
          <w:szCs w:val="24"/>
          <w:lang w:val="es-ES"/>
        </w:rPr>
        <w:t xml:space="preserve"> </w:t>
      </w:r>
      <w:r w:rsidRPr="00EA2D19">
        <w:rPr>
          <w:sz w:val="24"/>
          <w:szCs w:val="24"/>
          <w:lang w:val="es-ES"/>
        </w:rPr>
        <w:t>Yogyakarta: FE-UGM.</w:t>
      </w:r>
      <w:r w:rsidRPr="00EA2D19">
        <w:rPr>
          <w:sz w:val="24"/>
          <w:szCs w:val="24"/>
          <w:lang w:val="id-ID"/>
        </w:rPr>
        <w:t xml:space="preserve"> Available at: </w:t>
      </w:r>
      <w:hyperlink r:id="rId44" w:history="1">
        <w:r w:rsidRPr="00EA2D19">
          <w:rPr>
            <w:rStyle w:val="Hyperlink"/>
            <w:i/>
            <w:iCs/>
            <w:sz w:val="24"/>
            <w:szCs w:val="24"/>
            <w:lang w:val="id-ID"/>
          </w:rPr>
          <w:t>https://books.google.co.id/books/about/Dasar_dasar_ilmu_keuangan_negara. html?id=bsBHHAAACAAJ&amp;redir_esc=y</w:t>
        </w:r>
      </w:hyperlink>
      <w:r w:rsidRPr="00EA2D19">
        <w:rPr>
          <w:sz w:val="24"/>
          <w:szCs w:val="24"/>
          <w:lang w:val="id-ID"/>
        </w:rPr>
        <w:t>.</w:t>
      </w:r>
    </w:p>
    <w:p w:rsidR="00E830CB" w:rsidRPr="00EA2D19" w:rsidRDefault="00E830CB" w:rsidP="00166BD3">
      <w:pPr>
        <w:ind w:left="567" w:hanging="567"/>
        <w:jc w:val="both"/>
        <w:rPr>
          <w:color w:val="222222"/>
          <w:sz w:val="24"/>
          <w:szCs w:val="24"/>
          <w:shd w:val="clear" w:color="auto" w:fill="FFFFFF"/>
          <w:lang w:val="id-ID"/>
        </w:rPr>
      </w:pPr>
      <w:r w:rsidRPr="00E830CB">
        <w:rPr>
          <w:sz w:val="24"/>
          <w:szCs w:val="24"/>
          <w:shd w:val="clear" w:color="auto" w:fill="FFFFFF"/>
          <w:lang w:val="id-ID"/>
        </w:rPr>
        <w:t>Wenham, C.,</w:t>
      </w:r>
      <w:r w:rsidRPr="00EA2D19">
        <w:rPr>
          <w:color w:val="222222"/>
          <w:sz w:val="24"/>
          <w:szCs w:val="24"/>
          <w:shd w:val="clear" w:color="auto" w:fill="FFFFFF"/>
          <w:lang w:val="id-ID"/>
        </w:rPr>
        <w:t xml:space="preserve"> Smith, J., &amp; Morgan, R. (2020). COVID-19: the gendered impacts of the outbreak. The Lancet, 395(10227), 846-848. DOI: </w:t>
      </w:r>
      <w:hyperlink r:id="rId45" w:history="1">
        <w:r w:rsidRPr="00EA2D19">
          <w:rPr>
            <w:rStyle w:val="Hyperlink"/>
            <w:sz w:val="24"/>
            <w:szCs w:val="24"/>
            <w:shd w:val="clear" w:color="auto" w:fill="FFFFFF"/>
            <w:lang w:val="id-ID"/>
          </w:rPr>
          <w:t>https://doi.org/10.1016/S0140-6736(20)30526-2</w:t>
        </w:r>
      </w:hyperlink>
      <w:r w:rsidRPr="00EA2D19">
        <w:rPr>
          <w:color w:val="222222"/>
          <w:sz w:val="24"/>
          <w:szCs w:val="24"/>
          <w:shd w:val="clear" w:color="auto" w:fill="FFFFFF"/>
          <w:lang w:val="id-ID"/>
        </w:rPr>
        <w:t>.</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 xml:space="preserve">WHO.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Q&amp;A: Similarities and Differences–COVID-19 and Influenza. March 17.</w:t>
      </w:r>
      <w:r w:rsidRPr="00EA2D19">
        <w:rPr>
          <w:sz w:val="24"/>
          <w:szCs w:val="24"/>
          <w:lang w:val="id-ID"/>
        </w:rPr>
        <w:t xml:space="preserve"> Available at:</w:t>
      </w:r>
      <w:r w:rsidRPr="00EA2D19">
        <w:rPr>
          <w:sz w:val="24"/>
          <w:szCs w:val="24"/>
        </w:rPr>
        <w:t xml:space="preserve"> </w:t>
      </w:r>
      <w:hyperlink r:id="rId46" w:history="1">
        <w:r w:rsidRPr="00EA2D19">
          <w:rPr>
            <w:rStyle w:val="Hyperlink"/>
            <w:sz w:val="24"/>
            <w:szCs w:val="24"/>
          </w:rPr>
          <w:t>https://www.who.int/news-room/q-a-detail/q-a-similarities-and-differences-covid-19-andinfluenza</w:t>
        </w:r>
      </w:hyperlink>
      <w:r w:rsidRPr="00EA2D19">
        <w:rPr>
          <w:sz w:val="24"/>
          <w:szCs w:val="24"/>
        </w:rPr>
        <w:t>.</w:t>
      </w:r>
    </w:p>
    <w:p w:rsidR="00E830CB" w:rsidRPr="00EA2D19" w:rsidRDefault="00E830CB" w:rsidP="00374F9D">
      <w:pPr>
        <w:autoSpaceDE w:val="0"/>
        <w:autoSpaceDN w:val="0"/>
        <w:adjustRightInd w:val="0"/>
        <w:ind w:left="567" w:hanging="567"/>
        <w:jc w:val="both"/>
        <w:rPr>
          <w:sz w:val="24"/>
          <w:szCs w:val="24"/>
        </w:rPr>
      </w:pPr>
      <w:r w:rsidRPr="00EA2D19">
        <w:rPr>
          <w:sz w:val="24"/>
          <w:szCs w:val="24"/>
        </w:rPr>
        <w:t>Wilder-Smith, A., Chiew,</w:t>
      </w:r>
      <w:r w:rsidRPr="00EA2D19">
        <w:rPr>
          <w:sz w:val="24"/>
          <w:szCs w:val="24"/>
          <w:lang w:val="id-ID"/>
        </w:rPr>
        <w:t xml:space="preserve"> </w:t>
      </w:r>
      <w:r w:rsidRPr="00EA2D19">
        <w:rPr>
          <w:sz w:val="24"/>
          <w:szCs w:val="24"/>
        </w:rPr>
        <w:t>C. J.</w:t>
      </w:r>
      <w:r w:rsidRPr="00EA2D19">
        <w:rPr>
          <w:sz w:val="24"/>
          <w:szCs w:val="24"/>
          <w:lang w:val="id-ID"/>
        </w:rPr>
        <w:t>, &amp;</w:t>
      </w:r>
      <w:r w:rsidRPr="00EA2D19">
        <w:rPr>
          <w:sz w:val="24"/>
          <w:szCs w:val="24"/>
        </w:rPr>
        <w:t xml:space="preserve"> Lee</w:t>
      </w:r>
      <w:r w:rsidRPr="00EA2D19">
        <w:rPr>
          <w:sz w:val="24"/>
          <w:szCs w:val="24"/>
          <w:lang w:val="id-ID"/>
        </w:rPr>
        <w:t xml:space="preserve">, </w:t>
      </w:r>
      <w:r w:rsidRPr="00EA2D19">
        <w:rPr>
          <w:sz w:val="24"/>
          <w:szCs w:val="24"/>
        </w:rPr>
        <w:t xml:space="preserve">V. J.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Can We Contain the COVID-19 Outbreak with the Same Measures as for SARS?</w:t>
      </w:r>
      <w:r w:rsidRPr="00EA2D19">
        <w:rPr>
          <w:sz w:val="24"/>
          <w:szCs w:val="24"/>
          <w:lang w:val="id-ID"/>
        </w:rPr>
        <w:t>.</w:t>
      </w:r>
      <w:r w:rsidRPr="00EA2D19">
        <w:rPr>
          <w:sz w:val="24"/>
          <w:szCs w:val="24"/>
        </w:rPr>
        <w:t xml:space="preserve"> </w:t>
      </w:r>
      <w:r w:rsidRPr="00EA2D19">
        <w:rPr>
          <w:i/>
          <w:iCs/>
          <w:sz w:val="24"/>
          <w:szCs w:val="24"/>
        </w:rPr>
        <w:t>The Lancet Infectious Diseases</w:t>
      </w:r>
      <w:r w:rsidRPr="00EA2D19">
        <w:rPr>
          <w:sz w:val="24"/>
          <w:szCs w:val="24"/>
        </w:rPr>
        <w:t>. March 5.</w:t>
      </w:r>
      <w:r w:rsidRPr="00EA2D19">
        <w:rPr>
          <w:sz w:val="24"/>
          <w:szCs w:val="24"/>
          <w:lang w:val="id-ID"/>
        </w:rPr>
        <w:t xml:space="preserve"> Available at:</w:t>
      </w:r>
      <w:r w:rsidRPr="00EA2D19">
        <w:rPr>
          <w:sz w:val="24"/>
          <w:szCs w:val="24"/>
        </w:rPr>
        <w:t xml:space="preserve"> </w:t>
      </w:r>
      <w:hyperlink r:id="rId47" w:history="1">
        <w:r w:rsidRPr="00EA2D19">
          <w:rPr>
            <w:rStyle w:val="Hyperlink"/>
            <w:sz w:val="24"/>
            <w:szCs w:val="24"/>
          </w:rPr>
          <w:t>https://doi.org/10.1016/S1473-3099(20)30129-8</w:t>
        </w:r>
      </w:hyperlink>
      <w:r w:rsidRPr="00EA2D19">
        <w:rPr>
          <w:sz w:val="24"/>
          <w:szCs w:val="24"/>
        </w:rPr>
        <w:t>.</w:t>
      </w:r>
    </w:p>
    <w:p w:rsidR="00E830CB" w:rsidRPr="00EA2D19" w:rsidRDefault="00E830CB" w:rsidP="00374F9D">
      <w:pPr>
        <w:ind w:left="567" w:hanging="567"/>
        <w:jc w:val="both"/>
        <w:rPr>
          <w:sz w:val="24"/>
          <w:szCs w:val="24"/>
          <w:lang w:val="id-ID"/>
        </w:rPr>
      </w:pPr>
      <w:r w:rsidRPr="00EA2D19">
        <w:rPr>
          <w:sz w:val="24"/>
          <w:szCs w:val="24"/>
        </w:rPr>
        <w:t>Wilson, N., Kvalsvig,</w:t>
      </w:r>
      <w:r w:rsidRPr="00EA2D19">
        <w:rPr>
          <w:sz w:val="24"/>
          <w:szCs w:val="24"/>
          <w:lang w:val="id-ID"/>
        </w:rPr>
        <w:t xml:space="preserve"> A., </w:t>
      </w:r>
      <w:r w:rsidRPr="00EA2D19">
        <w:rPr>
          <w:sz w:val="24"/>
          <w:szCs w:val="24"/>
        </w:rPr>
        <w:t>Barnard,</w:t>
      </w:r>
      <w:r w:rsidRPr="00EA2D19">
        <w:rPr>
          <w:sz w:val="24"/>
          <w:szCs w:val="24"/>
          <w:lang w:val="id-ID"/>
        </w:rPr>
        <w:t xml:space="preserve"> </w:t>
      </w:r>
      <w:r w:rsidRPr="00EA2D19">
        <w:rPr>
          <w:sz w:val="24"/>
          <w:szCs w:val="24"/>
        </w:rPr>
        <w:t>L.T.</w:t>
      </w:r>
      <w:r w:rsidRPr="00EA2D19">
        <w:rPr>
          <w:sz w:val="24"/>
          <w:szCs w:val="24"/>
          <w:lang w:val="id-ID"/>
        </w:rPr>
        <w:t>, &amp;</w:t>
      </w:r>
      <w:r w:rsidRPr="00EA2D19">
        <w:rPr>
          <w:sz w:val="24"/>
          <w:szCs w:val="24"/>
        </w:rPr>
        <w:t xml:space="preserve"> Baker</w:t>
      </w:r>
      <w:r w:rsidRPr="00EA2D19">
        <w:rPr>
          <w:sz w:val="24"/>
          <w:szCs w:val="24"/>
          <w:lang w:val="id-ID"/>
        </w:rPr>
        <w:t xml:space="preserve">, </w:t>
      </w:r>
      <w:r w:rsidRPr="00EA2D19">
        <w:rPr>
          <w:sz w:val="24"/>
          <w:szCs w:val="24"/>
        </w:rPr>
        <w:t xml:space="preserve">M.G. </w:t>
      </w:r>
      <w:r w:rsidRPr="00EA2D19">
        <w:rPr>
          <w:sz w:val="24"/>
          <w:szCs w:val="24"/>
          <w:lang w:val="id-ID"/>
        </w:rPr>
        <w:t>(</w:t>
      </w:r>
      <w:r w:rsidRPr="00EA2D19">
        <w:rPr>
          <w:sz w:val="24"/>
          <w:szCs w:val="24"/>
        </w:rPr>
        <w:t>2020</w:t>
      </w:r>
      <w:r w:rsidRPr="00EA2D19">
        <w:rPr>
          <w:sz w:val="24"/>
          <w:szCs w:val="24"/>
          <w:lang w:val="id-ID"/>
        </w:rPr>
        <w:t>)</w:t>
      </w:r>
      <w:r w:rsidRPr="00EA2D19">
        <w:rPr>
          <w:sz w:val="24"/>
          <w:szCs w:val="24"/>
        </w:rPr>
        <w:t xml:space="preserve">. Case-Fatality Estimates for COVID-19 Calculated by Using a Lag Time for Fatality. </w:t>
      </w:r>
      <w:r w:rsidRPr="00EA2D19">
        <w:rPr>
          <w:i/>
          <w:iCs/>
          <w:sz w:val="24"/>
          <w:szCs w:val="24"/>
        </w:rPr>
        <w:t>Emerging Infection Diseases</w:t>
      </w:r>
      <w:r w:rsidRPr="00EA2D19">
        <w:rPr>
          <w:i/>
          <w:iCs/>
          <w:sz w:val="24"/>
          <w:szCs w:val="24"/>
          <w:lang w:val="id-ID"/>
        </w:rPr>
        <w:t>,</w:t>
      </w:r>
      <w:r w:rsidRPr="00EA2D19">
        <w:rPr>
          <w:i/>
          <w:iCs/>
          <w:sz w:val="24"/>
          <w:szCs w:val="24"/>
        </w:rPr>
        <w:t xml:space="preserve"> </w:t>
      </w:r>
      <w:r w:rsidRPr="00EA2D19">
        <w:rPr>
          <w:sz w:val="24"/>
          <w:szCs w:val="24"/>
        </w:rPr>
        <w:t xml:space="preserve">26 (6). DOI: </w:t>
      </w:r>
      <w:hyperlink r:id="rId48" w:history="1">
        <w:r w:rsidR="00150F0A" w:rsidRPr="008B378B">
          <w:rPr>
            <w:rStyle w:val="Hyperlink"/>
            <w:sz w:val="24"/>
            <w:szCs w:val="24"/>
          </w:rPr>
          <w:t>https://</w:t>
        </w:r>
        <w:r w:rsidR="00150F0A" w:rsidRPr="008B378B">
          <w:rPr>
            <w:rStyle w:val="Hyperlink"/>
            <w:sz w:val="24"/>
            <w:szCs w:val="24"/>
            <w:lang w:val="id-ID"/>
          </w:rPr>
          <w:t>doi.org/</w:t>
        </w:r>
        <w:r w:rsidR="00150F0A" w:rsidRPr="008B378B">
          <w:rPr>
            <w:rStyle w:val="Hyperlink"/>
            <w:sz w:val="24"/>
            <w:szCs w:val="24"/>
          </w:rPr>
          <w:t>10.3201/eid2606.200320</w:t>
        </w:r>
      </w:hyperlink>
      <w:r w:rsidRPr="00EA2D19">
        <w:rPr>
          <w:sz w:val="24"/>
          <w:szCs w:val="24"/>
        </w:rPr>
        <w:t>.</w:t>
      </w:r>
    </w:p>
    <w:p w:rsidR="00E830CB" w:rsidRPr="00EA2D19" w:rsidRDefault="00E830CB" w:rsidP="00413269">
      <w:pPr>
        <w:pStyle w:val="TeksCatatanKaki"/>
        <w:ind w:left="567" w:hanging="567"/>
        <w:jc w:val="both"/>
        <w:rPr>
          <w:sz w:val="24"/>
          <w:szCs w:val="24"/>
          <w:lang w:val="id-ID"/>
        </w:rPr>
      </w:pPr>
      <w:r w:rsidRPr="00EA2D19">
        <w:rPr>
          <w:sz w:val="24"/>
          <w:szCs w:val="24"/>
        </w:rPr>
        <w:t>Winer</w:t>
      </w:r>
      <w:r w:rsidRPr="00EA2D19">
        <w:rPr>
          <w:sz w:val="24"/>
          <w:szCs w:val="24"/>
          <w:lang w:val="id-ID"/>
        </w:rPr>
        <w:t>,</w:t>
      </w:r>
      <w:r w:rsidRPr="00EA2D19">
        <w:rPr>
          <w:sz w:val="24"/>
          <w:szCs w:val="24"/>
        </w:rPr>
        <w:t xml:space="preserve"> S</w:t>
      </w:r>
      <w:r w:rsidRPr="00EA2D19">
        <w:rPr>
          <w:sz w:val="24"/>
          <w:szCs w:val="24"/>
          <w:lang w:val="id-ID"/>
        </w:rPr>
        <w:t>.</w:t>
      </w:r>
      <w:r w:rsidRPr="00EA2D19">
        <w:rPr>
          <w:sz w:val="24"/>
          <w:szCs w:val="24"/>
        </w:rPr>
        <w:t xml:space="preserve">L. </w:t>
      </w:r>
      <w:r w:rsidRPr="00EA2D19">
        <w:rPr>
          <w:sz w:val="24"/>
          <w:szCs w:val="24"/>
          <w:lang w:val="id-ID"/>
        </w:rPr>
        <w:t xml:space="preserve">&amp; </w:t>
      </w:r>
      <w:r w:rsidRPr="00EA2D19">
        <w:rPr>
          <w:sz w:val="24"/>
          <w:szCs w:val="24"/>
        </w:rPr>
        <w:t>Hettich</w:t>
      </w:r>
      <w:r w:rsidRPr="00EA2D19">
        <w:rPr>
          <w:sz w:val="24"/>
          <w:szCs w:val="24"/>
          <w:lang w:val="id-ID"/>
        </w:rPr>
        <w:t xml:space="preserve">, W. (2004). </w:t>
      </w:r>
      <w:r w:rsidRPr="00EA2D19">
        <w:rPr>
          <w:sz w:val="24"/>
          <w:szCs w:val="24"/>
        </w:rPr>
        <w:t>Structure and Coherence in the Political Economy of Public Finance</w:t>
      </w:r>
      <w:r w:rsidRPr="00EA2D19">
        <w:rPr>
          <w:sz w:val="24"/>
          <w:szCs w:val="24"/>
          <w:lang w:val="id-ID"/>
        </w:rPr>
        <w:t xml:space="preserve">. </w:t>
      </w:r>
      <w:r w:rsidRPr="00EA2D19">
        <w:rPr>
          <w:i/>
          <w:iCs/>
          <w:sz w:val="24"/>
          <w:szCs w:val="24"/>
        </w:rPr>
        <w:t>Oxford Handbook of Political Economy</w:t>
      </w:r>
      <w:r w:rsidRPr="00EA2D19">
        <w:rPr>
          <w:i/>
          <w:iCs/>
          <w:sz w:val="24"/>
          <w:szCs w:val="24"/>
          <w:lang w:val="id-ID"/>
        </w:rPr>
        <w:t xml:space="preserve">. </w:t>
      </w:r>
      <w:r w:rsidRPr="00EA2D19">
        <w:rPr>
          <w:sz w:val="24"/>
          <w:szCs w:val="24"/>
          <w:lang w:val="id-ID"/>
        </w:rPr>
        <w:t xml:space="preserve">Oxford: Oxford University. Available at: </w:t>
      </w:r>
      <w:hyperlink r:id="rId49" w:history="1">
        <w:r w:rsidRPr="00EA2D19">
          <w:rPr>
            <w:rStyle w:val="Hyperlink"/>
            <w:i/>
            <w:iCs/>
            <w:sz w:val="24"/>
            <w:szCs w:val="24"/>
            <w:lang w:val="id-ID"/>
          </w:rPr>
          <w:t>https://books.google.co.id/books?isbn=0199548471</w:t>
        </w:r>
      </w:hyperlink>
      <w:r w:rsidRPr="00EA2D19">
        <w:rPr>
          <w:i/>
          <w:iCs/>
          <w:sz w:val="24"/>
          <w:szCs w:val="24"/>
          <w:lang w:val="id-ID"/>
        </w:rPr>
        <w:t>.</w:t>
      </w:r>
    </w:p>
    <w:p w:rsidR="00E830CB" w:rsidRPr="00EA2D19" w:rsidRDefault="00E830CB" w:rsidP="00FE600A">
      <w:pPr>
        <w:pStyle w:val="TeksCatatanKaki"/>
        <w:ind w:left="567" w:hanging="567"/>
        <w:jc w:val="both"/>
        <w:rPr>
          <w:sz w:val="24"/>
          <w:szCs w:val="24"/>
          <w:lang w:val="id-ID"/>
        </w:rPr>
      </w:pPr>
      <w:r w:rsidRPr="00EA2D19">
        <w:rPr>
          <w:sz w:val="24"/>
          <w:szCs w:val="24"/>
        </w:rPr>
        <w:t xml:space="preserve">World Bank. </w:t>
      </w:r>
      <w:r w:rsidRPr="00EA2D19">
        <w:rPr>
          <w:sz w:val="24"/>
          <w:szCs w:val="24"/>
          <w:lang w:val="id-ID"/>
        </w:rPr>
        <w:t>(</w:t>
      </w:r>
      <w:r w:rsidRPr="00EA2D19">
        <w:rPr>
          <w:sz w:val="24"/>
          <w:szCs w:val="24"/>
        </w:rPr>
        <w:t>2013</w:t>
      </w:r>
      <w:r w:rsidRPr="00EA2D19">
        <w:rPr>
          <w:sz w:val="24"/>
          <w:szCs w:val="24"/>
          <w:lang w:val="id-ID"/>
        </w:rPr>
        <w:t>)</w:t>
      </w:r>
      <w:r w:rsidRPr="00EA2D19">
        <w:rPr>
          <w:sz w:val="24"/>
          <w:szCs w:val="24"/>
        </w:rPr>
        <w:t xml:space="preserve">. </w:t>
      </w:r>
      <w:r w:rsidRPr="00EA2D19">
        <w:rPr>
          <w:i/>
          <w:iCs/>
          <w:sz w:val="24"/>
          <w:szCs w:val="24"/>
        </w:rPr>
        <w:t>World Development Report 2014: Managing Risk for Development</w:t>
      </w:r>
      <w:r w:rsidRPr="00EA2D19">
        <w:rPr>
          <w:sz w:val="24"/>
          <w:szCs w:val="24"/>
        </w:rPr>
        <w:t>. Washington, DC: World Bank.</w:t>
      </w:r>
    </w:p>
    <w:sectPr w:rsidR="00E830CB" w:rsidRPr="00EA2D19" w:rsidSect="000440D3">
      <w:headerReference w:type="even" r:id="rId50"/>
      <w:headerReference w:type="default" r:id="rId51"/>
      <w:footerReference w:type="default" r:id="rId52"/>
      <w:footerReference w:type="first" r:id="rId53"/>
      <w:pgSz w:w="11907" w:h="16840" w:code="9"/>
      <w:pgMar w:top="1701" w:right="1701" w:bottom="1701"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45B3" w:rsidRDefault="009645B3">
      <w:r>
        <w:separator/>
      </w:r>
    </w:p>
  </w:endnote>
  <w:endnote w:type="continuationSeparator" w:id="0">
    <w:p w:rsidR="009645B3" w:rsidRDefault="00964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Roboto">
    <w:panose1 w:val="02000000000000000000"/>
    <w:charset w:val="00"/>
    <w:family w:val="auto"/>
    <w:pitch w:val="variable"/>
    <w:sig w:usb0="E00002FF" w:usb1="5000217F" w:usb2="00000021" w:usb3="00000000" w:csb0="0000019F" w:csb1="00000000"/>
  </w:font>
  <w:font w:name="Times New Arabic">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942" w:rsidRPr="00EB7478" w:rsidRDefault="00335942" w:rsidP="003276A6">
    <w:pPr>
      <w:pStyle w:val="Footer"/>
      <w:jc w:val="center"/>
      <w:rPr>
        <w:rFonts w:ascii="Times New Arabic" w:hAnsi="Times New Arabic"/>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942" w:rsidRPr="002376C1" w:rsidRDefault="00335942" w:rsidP="002376C1">
    <w:pPr>
      <w:pStyle w:val="Footer"/>
      <w:tabs>
        <w:tab w:val="clear" w:pos="4320"/>
        <w:tab w:val="clear" w:pos="8640"/>
      </w:tabs>
      <w:jc w:val="center"/>
      <w:rPr>
        <w:rFonts w:ascii="Times New Arabic" w:hAnsi="Times New Arabic"/>
        <w:sz w:val="22"/>
        <w:szCs w:val="22"/>
        <w:lang w:val="id-ID"/>
      </w:rPr>
    </w:pPr>
    <w:r w:rsidRPr="002376C1">
      <w:rPr>
        <w:rFonts w:ascii="Times New Arabic" w:hAnsi="Times New Arabic"/>
        <w:sz w:val="22"/>
        <w:szCs w:val="22"/>
        <w:lang w:val="id-ID"/>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45B3" w:rsidRDefault="009645B3">
      <w:r>
        <w:separator/>
      </w:r>
    </w:p>
  </w:footnote>
  <w:footnote w:type="continuationSeparator" w:id="0">
    <w:p w:rsidR="009645B3" w:rsidRDefault="00964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942" w:rsidRDefault="00335942" w:rsidP="00A07945">
    <w:pPr>
      <w:pStyle w:val="Header"/>
      <w:framePr w:wrap="around" w:vAnchor="text" w:hAnchor="margin" w:xAlign="right" w:y="1"/>
      <w:rPr>
        <w:rStyle w:val="NomorHalaman"/>
      </w:rPr>
    </w:pPr>
    <w:r>
      <w:rPr>
        <w:rStyle w:val="NomorHalaman"/>
      </w:rPr>
      <w:fldChar w:fldCharType="begin"/>
    </w:r>
    <w:r>
      <w:rPr>
        <w:rStyle w:val="NomorHalaman"/>
      </w:rPr>
      <w:instrText xml:space="preserve">PAGE  </w:instrText>
    </w:r>
    <w:r>
      <w:rPr>
        <w:rStyle w:val="NomorHalaman"/>
      </w:rPr>
      <w:fldChar w:fldCharType="separate"/>
    </w:r>
    <w:r>
      <w:rPr>
        <w:rStyle w:val="NomorHalaman"/>
        <w:noProof/>
      </w:rPr>
      <w:t>34</w:t>
    </w:r>
    <w:r>
      <w:rPr>
        <w:rStyle w:val="NomorHalaman"/>
      </w:rPr>
      <w:fldChar w:fldCharType="end"/>
    </w:r>
  </w:p>
  <w:p w:rsidR="00335942" w:rsidRDefault="0033594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35942" w:rsidRPr="002376C1" w:rsidRDefault="00335942" w:rsidP="00860F85">
    <w:pPr>
      <w:pStyle w:val="Header"/>
      <w:framePr w:wrap="around" w:vAnchor="text" w:hAnchor="margin" w:xAlign="right" w:y="1"/>
      <w:rPr>
        <w:rStyle w:val="NomorHalaman"/>
        <w:rFonts w:ascii="Times New Arabic" w:hAnsi="Times New Arabic"/>
        <w:sz w:val="22"/>
        <w:szCs w:val="22"/>
      </w:rPr>
    </w:pPr>
    <w:r w:rsidRPr="002376C1">
      <w:rPr>
        <w:rStyle w:val="NomorHalaman"/>
        <w:rFonts w:ascii="Times New Arabic" w:hAnsi="Times New Arabic"/>
        <w:sz w:val="22"/>
        <w:szCs w:val="22"/>
      </w:rPr>
      <w:fldChar w:fldCharType="begin"/>
    </w:r>
    <w:r w:rsidRPr="002376C1">
      <w:rPr>
        <w:rStyle w:val="NomorHalaman"/>
        <w:rFonts w:ascii="Times New Arabic" w:hAnsi="Times New Arabic"/>
        <w:sz w:val="22"/>
        <w:szCs w:val="22"/>
      </w:rPr>
      <w:instrText xml:space="preserve">PAGE  </w:instrText>
    </w:r>
    <w:r w:rsidRPr="002376C1">
      <w:rPr>
        <w:rStyle w:val="NomorHalaman"/>
        <w:rFonts w:ascii="Times New Arabic" w:hAnsi="Times New Arabic"/>
        <w:sz w:val="22"/>
        <w:szCs w:val="22"/>
      </w:rPr>
      <w:fldChar w:fldCharType="separate"/>
    </w:r>
    <w:r w:rsidR="00905CF7">
      <w:rPr>
        <w:rStyle w:val="NomorHalaman"/>
        <w:rFonts w:ascii="Times New Arabic" w:hAnsi="Times New Arabic"/>
        <w:noProof/>
        <w:sz w:val="22"/>
        <w:szCs w:val="22"/>
      </w:rPr>
      <w:t>2</w:t>
    </w:r>
    <w:r w:rsidRPr="002376C1">
      <w:rPr>
        <w:rStyle w:val="NomorHalaman"/>
        <w:rFonts w:ascii="Times New Arabic" w:hAnsi="Times New Arabic"/>
        <w:sz w:val="22"/>
        <w:szCs w:val="22"/>
      </w:rPr>
      <w:fldChar w:fldCharType="end"/>
    </w:r>
  </w:p>
  <w:p w:rsidR="00335942" w:rsidRPr="00532BBB" w:rsidRDefault="00335942" w:rsidP="002376C1">
    <w:pPr>
      <w:pStyle w:val="Header"/>
      <w:ind w:right="360"/>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B775A"/>
    <w:multiLevelType w:val="hybridMultilevel"/>
    <w:tmpl w:val="943C64AE"/>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029D7F1B"/>
    <w:multiLevelType w:val="hybridMultilevel"/>
    <w:tmpl w:val="B0D0AD32"/>
    <w:lvl w:ilvl="0" w:tplc="8C7E2B12">
      <w:start w:val="1"/>
      <w:numFmt w:val="upperLetter"/>
      <w:lvlText w:val="%1."/>
      <w:lvlJc w:val="left"/>
      <w:pPr>
        <w:tabs>
          <w:tab w:val="num" w:pos="1440"/>
        </w:tabs>
        <w:ind w:left="1440" w:hanging="360"/>
      </w:pPr>
      <w:rPr>
        <w:rFonts w:cs="Times New Roman" w:hint="default"/>
      </w:rPr>
    </w:lvl>
    <w:lvl w:ilvl="1" w:tplc="CC8487AA">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 w15:restartNumberingAfterBreak="0">
    <w:nsid w:val="0D5114D7"/>
    <w:multiLevelType w:val="hybridMultilevel"/>
    <w:tmpl w:val="8A0C5368"/>
    <w:lvl w:ilvl="0" w:tplc="FCCE25EE">
      <w:start w:val="1"/>
      <w:numFmt w:val="decimal"/>
      <w:lvlText w:val="%1."/>
      <w:lvlJc w:val="left"/>
      <w:pPr>
        <w:tabs>
          <w:tab w:val="num" w:pos="2430"/>
        </w:tabs>
        <w:ind w:left="2430" w:hanging="1350"/>
      </w:pPr>
      <w:rPr>
        <w:rFonts w:cs="Times New Roman" w:hint="default"/>
      </w:rPr>
    </w:lvl>
    <w:lvl w:ilvl="1" w:tplc="3A9CD836">
      <w:start w:val="1"/>
      <w:numFmt w:val="lowerLetter"/>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 w15:restartNumberingAfterBreak="0">
    <w:nsid w:val="0DF52BEB"/>
    <w:multiLevelType w:val="hybridMultilevel"/>
    <w:tmpl w:val="84A2CD2A"/>
    <w:lvl w:ilvl="0" w:tplc="04090011">
      <w:start w:val="1"/>
      <w:numFmt w:val="decimal"/>
      <w:lvlText w:val="%1)"/>
      <w:lvlJc w:val="left"/>
      <w:pPr>
        <w:tabs>
          <w:tab w:val="num" w:pos="720"/>
        </w:tabs>
        <w:ind w:left="720" w:hanging="360"/>
      </w:pPr>
      <w:rPr>
        <w:rFonts w:cs="Times New Roman" w:hint="default"/>
      </w:rPr>
    </w:lvl>
    <w:lvl w:ilvl="1" w:tplc="5444279C">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E5221CF"/>
    <w:multiLevelType w:val="hybridMultilevel"/>
    <w:tmpl w:val="E332A8DC"/>
    <w:lvl w:ilvl="0" w:tplc="E4C057DC">
      <w:start w:val="1"/>
      <w:numFmt w:val="decimal"/>
      <w:lvlText w:val="(%1)"/>
      <w:lvlJc w:val="left"/>
      <w:pPr>
        <w:tabs>
          <w:tab w:val="num" w:pos="720"/>
        </w:tabs>
        <w:ind w:left="720" w:hanging="360"/>
      </w:pPr>
      <w:rPr>
        <w:rFonts w:cs="Times New Roman" w:hint="default"/>
      </w:rPr>
    </w:lvl>
    <w:lvl w:ilvl="1" w:tplc="8AF66D3C">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64D4676"/>
    <w:multiLevelType w:val="singleLevel"/>
    <w:tmpl w:val="9B9088C8"/>
    <w:lvl w:ilvl="0">
      <w:start w:val="1"/>
      <w:numFmt w:val="upperLetter"/>
      <w:pStyle w:val="Judul5"/>
      <w:lvlText w:val="%1."/>
      <w:lvlJc w:val="left"/>
      <w:pPr>
        <w:tabs>
          <w:tab w:val="num" w:pos="1260"/>
        </w:tabs>
        <w:ind w:left="1260" w:hanging="360"/>
      </w:pPr>
      <w:rPr>
        <w:rFonts w:cs="Times New Roman" w:hint="default"/>
      </w:rPr>
    </w:lvl>
  </w:abstractNum>
  <w:abstractNum w:abstractNumId="6" w15:restartNumberingAfterBreak="0">
    <w:nsid w:val="187E4A5B"/>
    <w:multiLevelType w:val="hybridMultilevel"/>
    <w:tmpl w:val="D68C5412"/>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ABC4AAE"/>
    <w:multiLevelType w:val="hybridMultilevel"/>
    <w:tmpl w:val="B608091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AE31A50"/>
    <w:multiLevelType w:val="hybridMultilevel"/>
    <w:tmpl w:val="EF86A026"/>
    <w:lvl w:ilvl="0" w:tplc="04090019">
      <w:start w:val="1"/>
      <w:numFmt w:val="decimal"/>
      <w:lvlText w:val="%1."/>
      <w:lvlJc w:val="left"/>
      <w:pPr>
        <w:tabs>
          <w:tab w:val="num" w:pos="1684"/>
        </w:tabs>
        <w:ind w:left="1684" w:hanging="975"/>
      </w:pPr>
      <w:rPr>
        <w:rFonts w:cs="Times New Roman" w:hint="default"/>
      </w:rPr>
    </w:lvl>
    <w:lvl w:ilvl="1" w:tplc="73F0532A" w:tentative="1">
      <w:start w:val="1"/>
      <w:numFmt w:val="lowerLetter"/>
      <w:lvlText w:val="%2."/>
      <w:lvlJc w:val="left"/>
      <w:pPr>
        <w:tabs>
          <w:tab w:val="num" w:pos="1789"/>
        </w:tabs>
        <w:ind w:left="1789" w:hanging="360"/>
      </w:pPr>
      <w:rPr>
        <w:rFonts w:cs="Times New Roman"/>
      </w:rPr>
    </w:lvl>
    <w:lvl w:ilvl="2" w:tplc="5928AD7A" w:tentative="1">
      <w:start w:val="1"/>
      <w:numFmt w:val="lowerRoman"/>
      <w:lvlText w:val="%3."/>
      <w:lvlJc w:val="right"/>
      <w:pPr>
        <w:tabs>
          <w:tab w:val="num" w:pos="2509"/>
        </w:tabs>
        <w:ind w:left="2509" w:hanging="180"/>
      </w:pPr>
      <w:rPr>
        <w:rFonts w:cs="Times New Roman"/>
      </w:rPr>
    </w:lvl>
    <w:lvl w:ilvl="3" w:tplc="3F3E9750" w:tentative="1">
      <w:start w:val="1"/>
      <w:numFmt w:val="decimal"/>
      <w:lvlText w:val="%4."/>
      <w:lvlJc w:val="left"/>
      <w:pPr>
        <w:tabs>
          <w:tab w:val="num" w:pos="3229"/>
        </w:tabs>
        <w:ind w:left="3229" w:hanging="360"/>
      </w:pPr>
      <w:rPr>
        <w:rFonts w:cs="Times New Roman"/>
      </w:rPr>
    </w:lvl>
    <w:lvl w:ilvl="4" w:tplc="04090019" w:tentative="1">
      <w:start w:val="1"/>
      <w:numFmt w:val="lowerLetter"/>
      <w:lvlText w:val="%5."/>
      <w:lvlJc w:val="left"/>
      <w:pPr>
        <w:tabs>
          <w:tab w:val="num" w:pos="3949"/>
        </w:tabs>
        <w:ind w:left="3949" w:hanging="360"/>
      </w:pPr>
      <w:rPr>
        <w:rFonts w:cs="Times New Roman"/>
      </w:rPr>
    </w:lvl>
    <w:lvl w:ilvl="5" w:tplc="0409001B" w:tentative="1">
      <w:start w:val="1"/>
      <w:numFmt w:val="lowerRoman"/>
      <w:lvlText w:val="%6."/>
      <w:lvlJc w:val="right"/>
      <w:pPr>
        <w:tabs>
          <w:tab w:val="num" w:pos="4669"/>
        </w:tabs>
        <w:ind w:left="4669" w:hanging="180"/>
      </w:pPr>
      <w:rPr>
        <w:rFonts w:cs="Times New Roman"/>
      </w:rPr>
    </w:lvl>
    <w:lvl w:ilvl="6" w:tplc="0409000F" w:tentative="1">
      <w:start w:val="1"/>
      <w:numFmt w:val="decimal"/>
      <w:lvlText w:val="%7."/>
      <w:lvlJc w:val="left"/>
      <w:pPr>
        <w:tabs>
          <w:tab w:val="num" w:pos="5389"/>
        </w:tabs>
        <w:ind w:left="5389" w:hanging="360"/>
      </w:pPr>
      <w:rPr>
        <w:rFonts w:cs="Times New Roman"/>
      </w:rPr>
    </w:lvl>
    <w:lvl w:ilvl="7" w:tplc="04090019" w:tentative="1">
      <w:start w:val="1"/>
      <w:numFmt w:val="lowerLetter"/>
      <w:lvlText w:val="%8."/>
      <w:lvlJc w:val="left"/>
      <w:pPr>
        <w:tabs>
          <w:tab w:val="num" w:pos="6109"/>
        </w:tabs>
        <w:ind w:left="6109" w:hanging="360"/>
      </w:pPr>
      <w:rPr>
        <w:rFonts w:cs="Times New Roman"/>
      </w:rPr>
    </w:lvl>
    <w:lvl w:ilvl="8" w:tplc="0409001B" w:tentative="1">
      <w:start w:val="1"/>
      <w:numFmt w:val="lowerRoman"/>
      <w:lvlText w:val="%9."/>
      <w:lvlJc w:val="right"/>
      <w:pPr>
        <w:tabs>
          <w:tab w:val="num" w:pos="6829"/>
        </w:tabs>
        <w:ind w:left="6829" w:hanging="180"/>
      </w:pPr>
      <w:rPr>
        <w:rFonts w:cs="Times New Roman"/>
      </w:rPr>
    </w:lvl>
  </w:abstractNum>
  <w:abstractNum w:abstractNumId="9" w15:restartNumberingAfterBreak="0">
    <w:nsid w:val="1C7D29DC"/>
    <w:multiLevelType w:val="hybridMultilevel"/>
    <w:tmpl w:val="0958D1DA"/>
    <w:lvl w:ilvl="0" w:tplc="04090011">
      <w:start w:val="1"/>
      <w:numFmt w:val="decimal"/>
      <w:lvlText w:val="%1)"/>
      <w:lvlJc w:val="left"/>
      <w:pPr>
        <w:tabs>
          <w:tab w:val="num" w:pos="720"/>
        </w:tabs>
        <w:ind w:left="720" w:hanging="360"/>
      </w:pPr>
      <w:rPr>
        <w:rFonts w:cs="Times New Roman" w:hint="default"/>
      </w:rPr>
    </w:lvl>
    <w:lvl w:ilvl="1" w:tplc="37728C1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C906CB0"/>
    <w:multiLevelType w:val="hybridMultilevel"/>
    <w:tmpl w:val="EFA8AB9C"/>
    <w:lvl w:ilvl="0" w:tplc="04090017">
      <w:start w:val="1"/>
      <w:numFmt w:val="lowerLetter"/>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F2E505B"/>
    <w:multiLevelType w:val="hybridMultilevel"/>
    <w:tmpl w:val="F59858CA"/>
    <w:lvl w:ilvl="0" w:tplc="0BC016BE">
      <w:start w:val="2"/>
      <w:numFmt w:val="bullet"/>
      <w:lvlText w:val="-"/>
      <w:lvlJc w:val="left"/>
      <w:pPr>
        <w:ind w:left="720" w:hanging="360"/>
      </w:pPr>
      <w:rPr>
        <w:rFonts w:ascii="Times New Roman" w:eastAsia="Times New Roman"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2" w15:restartNumberingAfterBreak="0">
    <w:nsid w:val="1F4F45BC"/>
    <w:multiLevelType w:val="hybridMultilevel"/>
    <w:tmpl w:val="AA18DBB4"/>
    <w:lvl w:ilvl="0" w:tplc="E9D2AA60">
      <w:start w:val="1"/>
      <w:numFmt w:val="upperLetter"/>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2340"/>
        </w:tabs>
        <w:ind w:left="2340" w:hanging="360"/>
      </w:pPr>
      <w:rPr>
        <w:rFonts w:cs="Times New Roman"/>
      </w:rPr>
    </w:lvl>
    <w:lvl w:ilvl="2" w:tplc="0409001B" w:tentative="1">
      <w:start w:val="1"/>
      <w:numFmt w:val="lowerRoman"/>
      <w:lvlText w:val="%3."/>
      <w:lvlJc w:val="right"/>
      <w:pPr>
        <w:tabs>
          <w:tab w:val="num" w:pos="3060"/>
        </w:tabs>
        <w:ind w:left="3060" w:hanging="180"/>
      </w:pPr>
      <w:rPr>
        <w:rFonts w:cs="Times New Roman"/>
      </w:rPr>
    </w:lvl>
    <w:lvl w:ilvl="3" w:tplc="0409000F" w:tentative="1">
      <w:start w:val="1"/>
      <w:numFmt w:val="decimal"/>
      <w:lvlText w:val="%4."/>
      <w:lvlJc w:val="left"/>
      <w:pPr>
        <w:tabs>
          <w:tab w:val="num" w:pos="3780"/>
        </w:tabs>
        <w:ind w:left="3780" w:hanging="360"/>
      </w:pPr>
      <w:rPr>
        <w:rFonts w:cs="Times New Roman"/>
      </w:rPr>
    </w:lvl>
    <w:lvl w:ilvl="4" w:tplc="04090019" w:tentative="1">
      <w:start w:val="1"/>
      <w:numFmt w:val="lowerLetter"/>
      <w:lvlText w:val="%5."/>
      <w:lvlJc w:val="left"/>
      <w:pPr>
        <w:tabs>
          <w:tab w:val="num" w:pos="4500"/>
        </w:tabs>
        <w:ind w:left="4500" w:hanging="360"/>
      </w:pPr>
      <w:rPr>
        <w:rFonts w:cs="Times New Roman"/>
      </w:rPr>
    </w:lvl>
    <w:lvl w:ilvl="5" w:tplc="0409001B" w:tentative="1">
      <w:start w:val="1"/>
      <w:numFmt w:val="lowerRoman"/>
      <w:lvlText w:val="%6."/>
      <w:lvlJc w:val="right"/>
      <w:pPr>
        <w:tabs>
          <w:tab w:val="num" w:pos="5220"/>
        </w:tabs>
        <w:ind w:left="5220" w:hanging="180"/>
      </w:pPr>
      <w:rPr>
        <w:rFonts w:cs="Times New Roman"/>
      </w:rPr>
    </w:lvl>
    <w:lvl w:ilvl="6" w:tplc="0409000F" w:tentative="1">
      <w:start w:val="1"/>
      <w:numFmt w:val="decimal"/>
      <w:lvlText w:val="%7."/>
      <w:lvlJc w:val="left"/>
      <w:pPr>
        <w:tabs>
          <w:tab w:val="num" w:pos="5940"/>
        </w:tabs>
        <w:ind w:left="5940" w:hanging="360"/>
      </w:pPr>
      <w:rPr>
        <w:rFonts w:cs="Times New Roman"/>
      </w:rPr>
    </w:lvl>
    <w:lvl w:ilvl="7" w:tplc="04090019" w:tentative="1">
      <w:start w:val="1"/>
      <w:numFmt w:val="lowerLetter"/>
      <w:lvlText w:val="%8."/>
      <w:lvlJc w:val="left"/>
      <w:pPr>
        <w:tabs>
          <w:tab w:val="num" w:pos="6660"/>
        </w:tabs>
        <w:ind w:left="6660" w:hanging="360"/>
      </w:pPr>
      <w:rPr>
        <w:rFonts w:cs="Times New Roman"/>
      </w:rPr>
    </w:lvl>
    <w:lvl w:ilvl="8" w:tplc="0409001B" w:tentative="1">
      <w:start w:val="1"/>
      <w:numFmt w:val="lowerRoman"/>
      <w:lvlText w:val="%9."/>
      <w:lvlJc w:val="right"/>
      <w:pPr>
        <w:tabs>
          <w:tab w:val="num" w:pos="7380"/>
        </w:tabs>
        <w:ind w:left="7380" w:hanging="180"/>
      </w:pPr>
      <w:rPr>
        <w:rFonts w:cs="Times New Roman"/>
      </w:rPr>
    </w:lvl>
  </w:abstractNum>
  <w:abstractNum w:abstractNumId="13" w15:restartNumberingAfterBreak="0">
    <w:nsid w:val="1F68079D"/>
    <w:multiLevelType w:val="hybridMultilevel"/>
    <w:tmpl w:val="AAAADF0A"/>
    <w:lvl w:ilvl="0" w:tplc="0608DAD4">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4" w15:restartNumberingAfterBreak="0">
    <w:nsid w:val="29E31130"/>
    <w:multiLevelType w:val="hybridMultilevel"/>
    <w:tmpl w:val="6FC66594"/>
    <w:lvl w:ilvl="0" w:tplc="04090015">
      <w:start w:val="1"/>
      <w:numFmt w:val="upperLetter"/>
      <w:lvlText w:val="%1."/>
      <w:lvlJc w:val="left"/>
      <w:pPr>
        <w:tabs>
          <w:tab w:val="num" w:pos="720"/>
        </w:tabs>
        <w:ind w:left="720" w:hanging="360"/>
      </w:pPr>
      <w:rPr>
        <w:rFonts w:cs="Times New Roman" w:hint="default"/>
      </w:rPr>
    </w:lvl>
    <w:lvl w:ilvl="1" w:tplc="37286016">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A483811"/>
    <w:multiLevelType w:val="hybridMultilevel"/>
    <w:tmpl w:val="963E5E7A"/>
    <w:lvl w:ilvl="0" w:tplc="461C1DEE">
      <w:start w:val="1"/>
      <w:numFmt w:val="decimal"/>
      <w:lvlText w:val="%1."/>
      <w:lvlJc w:val="left"/>
      <w:pPr>
        <w:tabs>
          <w:tab w:val="num" w:pos="2445"/>
        </w:tabs>
        <w:ind w:left="2445" w:hanging="1365"/>
      </w:pPr>
      <w:rPr>
        <w:rFonts w:cs="Times New Roman" w:hint="default"/>
      </w:rPr>
    </w:lvl>
    <w:lvl w:ilvl="1" w:tplc="47785C40">
      <w:start w:val="1"/>
      <w:numFmt w:val="lowerLetter"/>
      <w:lvlText w:val="%2."/>
      <w:lvlJc w:val="left"/>
      <w:pPr>
        <w:tabs>
          <w:tab w:val="num" w:pos="2160"/>
        </w:tabs>
        <w:ind w:left="2160" w:hanging="360"/>
      </w:pPr>
      <w:rPr>
        <w:rFonts w:cs="Times New Roman" w:hint="default"/>
      </w:rPr>
    </w:lvl>
    <w:lvl w:ilvl="2" w:tplc="E75650C0">
      <w:start w:val="1"/>
      <w:numFmt w:val="decimal"/>
      <w:lvlText w:val="%3."/>
      <w:lvlJc w:val="left"/>
      <w:pPr>
        <w:tabs>
          <w:tab w:val="num" w:pos="3060"/>
        </w:tabs>
        <w:ind w:left="3060" w:hanging="360"/>
      </w:pPr>
      <w:rPr>
        <w:rFonts w:cs="Times New Roman" w:hint="default"/>
      </w:rPr>
    </w:lvl>
    <w:lvl w:ilvl="3" w:tplc="04090019">
      <w:start w:val="1"/>
      <w:numFmt w:val="lowerLetter"/>
      <w:lvlText w:val="%4."/>
      <w:lvlJc w:val="left"/>
      <w:pPr>
        <w:tabs>
          <w:tab w:val="num" w:pos="3600"/>
        </w:tabs>
        <w:ind w:left="3600" w:hanging="360"/>
      </w:pPr>
      <w:rPr>
        <w:rFonts w:cs="Times New Roman"/>
      </w:rPr>
    </w:lvl>
    <w:lvl w:ilvl="4" w:tplc="04090011">
      <w:start w:val="1"/>
      <w:numFmt w:val="decimal"/>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35D32D26"/>
    <w:multiLevelType w:val="hybridMultilevel"/>
    <w:tmpl w:val="9A6CC126"/>
    <w:lvl w:ilvl="0" w:tplc="EEAE363C">
      <w:start w:val="4"/>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A4B077B"/>
    <w:multiLevelType w:val="hybridMultilevel"/>
    <w:tmpl w:val="10528796"/>
    <w:lvl w:ilvl="0" w:tplc="4486437E">
      <w:start w:val="1"/>
      <w:numFmt w:val="upp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i w:val="0"/>
      </w:rPr>
    </w:lvl>
    <w:lvl w:ilvl="2" w:tplc="0409001B">
      <w:start w:val="1"/>
      <w:numFmt w:val="lowerRoman"/>
      <w:lvlText w:val="(%3)"/>
      <w:lvlJc w:val="left"/>
      <w:pPr>
        <w:tabs>
          <w:tab w:val="num" w:pos="2985"/>
        </w:tabs>
        <w:ind w:left="2985" w:hanging="1005"/>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F991A0D"/>
    <w:multiLevelType w:val="hybridMultilevel"/>
    <w:tmpl w:val="E834C26A"/>
    <w:lvl w:ilvl="0" w:tplc="04090015">
      <w:start w:val="1"/>
      <w:numFmt w:val="lowerLetter"/>
      <w:lvlText w:val="%1."/>
      <w:lvlJc w:val="left"/>
      <w:pPr>
        <w:tabs>
          <w:tab w:val="num" w:pos="720"/>
        </w:tabs>
        <w:ind w:left="720" w:hanging="360"/>
      </w:pPr>
      <w:rPr>
        <w:rFonts w:cs="Times New Roman" w:hint="default"/>
        <w:i w:val="0"/>
      </w:rPr>
    </w:lvl>
    <w:lvl w:ilvl="1" w:tplc="7DC4687A" w:tentative="1">
      <w:start w:val="1"/>
      <w:numFmt w:val="lowerLetter"/>
      <w:lvlText w:val="%2."/>
      <w:lvlJc w:val="left"/>
      <w:pPr>
        <w:tabs>
          <w:tab w:val="num" w:pos="1440"/>
        </w:tabs>
        <w:ind w:left="1440" w:hanging="360"/>
      </w:pPr>
      <w:rPr>
        <w:rFonts w:cs="Times New Roman"/>
      </w:rPr>
    </w:lvl>
    <w:lvl w:ilvl="2" w:tplc="0DD87ED0"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435D112C"/>
    <w:multiLevelType w:val="hybridMultilevel"/>
    <w:tmpl w:val="73D88FCA"/>
    <w:lvl w:ilvl="0" w:tplc="04090019">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45F2960"/>
    <w:multiLevelType w:val="hybridMultilevel"/>
    <w:tmpl w:val="26D045CC"/>
    <w:lvl w:ilvl="0" w:tplc="04090015">
      <w:start w:val="1"/>
      <w:numFmt w:val="lowerLetter"/>
      <w:lvlText w:val="%1."/>
      <w:lvlJc w:val="left"/>
      <w:pPr>
        <w:tabs>
          <w:tab w:val="num" w:pos="1004"/>
        </w:tabs>
        <w:ind w:left="1004" w:hanging="360"/>
      </w:pPr>
      <w:rPr>
        <w:rFonts w:cs="Times New Roman"/>
      </w:rPr>
    </w:lvl>
    <w:lvl w:ilvl="1" w:tplc="04090019">
      <w:start w:val="1"/>
      <w:numFmt w:val="upperLetter"/>
      <w:lvlText w:val="%2."/>
      <w:lvlJc w:val="left"/>
      <w:pPr>
        <w:tabs>
          <w:tab w:val="num" w:pos="1724"/>
        </w:tabs>
        <w:ind w:left="1724" w:hanging="360"/>
      </w:pPr>
      <w:rPr>
        <w:rFonts w:cs="Times New Roman" w:hint="default"/>
      </w:rPr>
    </w:lvl>
    <w:lvl w:ilvl="2" w:tplc="0409001B">
      <w:start w:val="1"/>
      <w:numFmt w:val="bullet"/>
      <w:lvlText w:val=""/>
      <w:lvlJc w:val="left"/>
      <w:pPr>
        <w:tabs>
          <w:tab w:val="num" w:pos="2624"/>
        </w:tabs>
        <w:ind w:left="2604" w:hanging="340"/>
      </w:pPr>
      <w:rPr>
        <w:rFonts w:ascii="Symbol" w:hAnsi="Symbol" w:hint="default"/>
      </w:rPr>
    </w:lvl>
    <w:lvl w:ilvl="3" w:tplc="0409000F">
      <w:start w:val="1"/>
      <w:numFmt w:val="lowerLetter"/>
      <w:lvlText w:val="%4."/>
      <w:lvlJc w:val="left"/>
      <w:pPr>
        <w:tabs>
          <w:tab w:val="num" w:pos="3164"/>
        </w:tabs>
        <w:ind w:left="3164" w:hanging="360"/>
      </w:pPr>
      <w:rPr>
        <w:rFonts w:cs="Times New Roman"/>
      </w:rPr>
    </w:lvl>
    <w:lvl w:ilvl="4" w:tplc="04090019">
      <w:start w:val="1"/>
      <w:numFmt w:val="bullet"/>
      <w:lvlText w:val=""/>
      <w:lvlJc w:val="left"/>
      <w:pPr>
        <w:tabs>
          <w:tab w:val="num" w:pos="3884"/>
        </w:tabs>
        <w:ind w:left="3864" w:hanging="340"/>
      </w:pPr>
      <w:rPr>
        <w:rFonts w:ascii="Symbol" w:hAnsi="Symbol" w:hint="default"/>
      </w:rPr>
    </w:lvl>
    <w:lvl w:ilvl="5" w:tplc="0409001B" w:tentative="1">
      <w:start w:val="1"/>
      <w:numFmt w:val="lowerRoman"/>
      <w:lvlText w:val="%6."/>
      <w:lvlJc w:val="right"/>
      <w:pPr>
        <w:tabs>
          <w:tab w:val="num" w:pos="4604"/>
        </w:tabs>
        <w:ind w:left="4604" w:hanging="180"/>
      </w:pPr>
      <w:rPr>
        <w:rFonts w:cs="Times New Roman"/>
      </w:rPr>
    </w:lvl>
    <w:lvl w:ilvl="6" w:tplc="0409000F" w:tentative="1">
      <w:start w:val="1"/>
      <w:numFmt w:val="decimal"/>
      <w:lvlText w:val="%7."/>
      <w:lvlJc w:val="left"/>
      <w:pPr>
        <w:tabs>
          <w:tab w:val="num" w:pos="5324"/>
        </w:tabs>
        <w:ind w:left="5324" w:hanging="360"/>
      </w:pPr>
      <w:rPr>
        <w:rFonts w:cs="Times New Roman"/>
      </w:rPr>
    </w:lvl>
    <w:lvl w:ilvl="7" w:tplc="04090019" w:tentative="1">
      <w:start w:val="1"/>
      <w:numFmt w:val="lowerLetter"/>
      <w:lvlText w:val="%8."/>
      <w:lvlJc w:val="left"/>
      <w:pPr>
        <w:tabs>
          <w:tab w:val="num" w:pos="6044"/>
        </w:tabs>
        <w:ind w:left="6044" w:hanging="360"/>
      </w:pPr>
      <w:rPr>
        <w:rFonts w:cs="Times New Roman"/>
      </w:rPr>
    </w:lvl>
    <w:lvl w:ilvl="8" w:tplc="0409001B" w:tentative="1">
      <w:start w:val="1"/>
      <w:numFmt w:val="lowerRoman"/>
      <w:lvlText w:val="%9."/>
      <w:lvlJc w:val="right"/>
      <w:pPr>
        <w:tabs>
          <w:tab w:val="num" w:pos="6764"/>
        </w:tabs>
        <w:ind w:left="6764" w:hanging="180"/>
      </w:pPr>
      <w:rPr>
        <w:rFonts w:cs="Times New Roman"/>
      </w:rPr>
    </w:lvl>
  </w:abstractNum>
  <w:abstractNum w:abstractNumId="21" w15:restartNumberingAfterBreak="0">
    <w:nsid w:val="467D6B3E"/>
    <w:multiLevelType w:val="hybridMultilevel"/>
    <w:tmpl w:val="E9DE9CD6"/>
    <w:lvl w:ilvl="0" w:tplc="04210019">
      <w:start w:val="1"/>
      <w:numFmt w:val="lowerLetter"/>
      <w:lvlText w:val="%1."/>
      <w:lvlJc w:val="left"/>
      <w:pPr>
        <w:ind w:left="720" w:hanging="360"/>
      </w:pPr>
      <w:rPr>
        <w:rFonts w:cs="Times New Roman"/>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2" w15:restartNumberingAfterBreak="0">
    <w:nsid w:val="47AB1C81"/>
    <w:multiLevelType w:val="hybridMultilevel"/>
    <w:tmpl w:val="739E0CEC"/>
    <w:lvl w:ilvl="0" w:tplc="04090019">
      <w:start w:val="1"/>
      <w:numFmt w:val="lowerLetter"/>
      <w:lvlText w:val="%1."/>
      <w:lvlJc w:val="left"/>
      <w:pPr>
        <w:tabs>
          <w:tab w:val="num" w:pos="720"/>
        </w:tabs>
        <w:ind w:left="720" w:hanging="360"/>
      </w:pPr>
      <w:rPr>
        <w:rFonts w:cs="Times New Roman" w:hint="default"/>
      </w:rPr>
    </w:lvl>
    <w:lvl w:ilvl="1" w:tplc="01D48490" w:tentative="1">
      <w:start w:val="1"/>
      <w:numFmt w:val="lowerLetter"/>
      <w:lvlText w:val="%2."/>
      <w:lvlJc w:val="left"/>
      <w:pPr>
        <w:tabs>
          <w:tab w:val="num" w:pos="1440"/>
        </w:tabs>
        <w:ind w:left="1440" w:hanging="360"/>
      </w:pPr>
      <w:rPr>
        <w:rFonts w:cs="Times New Roman"/>
      </w:rPr>
    </w:lvl>
    <w:lvl w:ilvl="2" w:tplc="9AE8511E" w:tentative="1">
      <w:start w:val="1"/>
      <w:numFmt w:val="lowerRoman"/>
      <w:lvlText w:val="%3."/>
      <w:lvlJc w:val="right"/>
      <w:pPr>
        <w:tabs>
          <w:tab w:val="num" w:pos="2160"/>
        </w:tabs>
        <w:ind w:left="2160" w:hanging="180"/>
      </w:pPr>
      <w:rPr>
        <w:rFonts w:cs="Times New Roman"/>
      </w:rPr>
    </w:lvl>
    <w:lvl w:ilvl="3" w:tplc="04090019" w:tentative="1">
      <w:start w:val="1"/>
      <w:numFmt w:val="decimal"/>
      <w:lvlText w:val="%4."/>
      <w:lvlJc w:val="left"/>
      <w:pPr>
        <w:tabs>
          <w:tab w:val="num" w:pos="2880"/>
        </w:tabs>
        <w:ind w:left="2880" w:hanging="360"/>
      </w:pPr>
      <w:rPr>
        <w:rFonts w:cs="Times New Roman"/>
      </w:rPr>
    </w:lvl>
    <w:lvl w:ilvl="4" w:tplc="9AE8511E"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89A0B0F"/>
    <w:multiLevelType w:val="hybridMultilevel"/>
    <w:tmpl w:val="91027E8A"/>
    <w:lvl w:ilvl="0" w:tplc="04090019">
      <w:start w:val="1"/>
      <w:numFmt w:val="lowerRoman"/>
      <w:lvlText w:val="(%1)"/>
      <w:lvlJc w:val="left"/>
      <w:pPr>
        <w:tabs>
          <w:tab w:val="num" w:pos="1800"/>
        </w:tabs>
        <w:ind w:left="1800" w:hanging="72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4" w15:restartNumberingAfterBreak="0">
    <w:nsid w:val="493539BE"/>
    <w:multiLevelType w:val="hybridMultilevel"/>
    <w:tmpl w:val="E1865090"/>
    <w:lvl w:ilvl="0" w:tplc="1F4055D0">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49877984"/>
    <w:multiLevelType w:val="hybridMultilevel"/>
    <w:tmpl w:val="82242060"/>
    <w:lvl w:ilvl="0" w:tplc="EEAE36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04125EC"/>
    <w:multiLevelType w:val="hybridMultilevel"/>
    <w:tmpl w:val="A03CAF82"/>
    <w:lvl w:ilvl="0" w:tplc="0409000F">
      <w:start w:val="1"/>
      <w:numFmt w:val="upperLetter"/>
      <w:lvlText w:val="%1."/>
      <w:lvlJc w:val="left"/>
      <w:pPr>
        <w:tabs>
          <w:tab w:val="num" w:pos="720"/>
        </w:tabs>
        <w:ind w:left="720" w:hanging="360"/>
      </w:pPr>
      <w:rPr>
        <w:rFonts w:cs="Times New Roman" w:hint="default"/>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29A2B82"/>
    <w:multiLevelType w:val="hybridMultilevel"/>
    <w:tmpl w:val="855A67F6"/>
    <w:lvl w:ilvl="0" w:tplc="EDC8C042">
      <w:start w:val="4"/>
      <w:numFmt w:val="decimal"/>
      <w:lvlText w:val="%1."/>
      <w:lvlJc w:val="left"/>
      <w:pPr>
        <w:ind w:left="720" w:hanging="360"/>
      </w:pPr>
      <w:rPr>
        <w:rFonts w:cs="Times New Roman" w:hint="default"/>
      </w:rPr>
    </w:lvl>
    <w:lvl w:ilvl="1" w:tplc="4D3433D6">
      <w:start w:val="1"/>
      <w:numFmt w:val="lowerLetter"/>
      <w:lvlText w:val="%2."/>
      <w:lvlJc w:val="left"/>
      <w:pPr>
        <w:ind w:left="1440" w:hanging="360"/>
      </w:pPr>
      <w:rPr>
        <w:rFonts w:cs="Times New Roman"/>
      </w:rPr>
    </w:lvl>
    <w:lvl w:ilvl="2" w:tplc="FEDCC37E" w:tentative="1">
      <w:start w:val="1"/>
      <w:numFmt w:val="lowerRoman"/>
      <w:lvlText w:val="%3."/>
      <w:lvlJc w:val="right"/>
      <w:pPr>
        <w:ind w:left="2160" w:hanging="180"/>
      </w:pPr>
      <w:rPr>
        <w:rFonts w:cs="Times New Roman"/>
      </w:rPr>
    </w:lvl>
    <w:lvl w:ilvl="3" w:tplc="9AE8511E"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4A87668"/>
    <w:multiLevelType w:val="hybridMultilevel"/>
    <w:tmpl w:val="7F240222"/>
    <w:lvl w:ilvl="0" w:tplc="0409000F">
      <w:start w:val="1"/>
      <w:numFmt w:val="lowerLetter"/>
      <w:lvlText w:val="%1)"/>
      <w:lvlJc w:val="left"/>
      <w:pPr>
        <w:ind w:left="720" w:hanging="360"/>
      </w:pPr>
      <w:rPr>
        <w:rFonts w:cs="Times New Roman" w:hint="default"/>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9" w15:restartNumberingAfterBreak="0">
    <w:nsid w:val="55EC11EB"/>
    <w:multiLevelType w:val="hybridMultilevel"/>
    <w:tmpl w:val="E0C686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56F66E0F"/>
    <w:multiLevelType w:val="hybridMultilevel"/>
    <w:tmpl w:val="1834E5A6"/>
    <w:lvl w:ilvl="0" w:tplc="0409000F">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A292ED7"/>
    <w:multiLevelType w:val="hybridMultilevel"/>
    <w:tmpl w:val="6EDECFDA"/>
    <w:lvl w:ilvl="0" w:tplc="04090015">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2" w15:restartNumberingAfterBreak="0">
    <w:nsid w:val="5B94123D"/>
    <w:multiLevelType w:val="hybridMultilevel"/>
    <w:tmpl w:val="F950053A"/>
    <w:lvl w:ilvl="0" w:tplc="04090017">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2F52B40"/>
    <w:multiLevelType w:val="hybridMultilevel"/>
    <w:tmpl w:val="7FB6EDD0"/>
    <w:lvl w:ilvl="0" w:tplc="A4CA4742">
      <w:start w:val="1"/>
      <w:numFmt w:val="decimal"/>
      <w:lvlText w:val="%1."/>
      <w:lvlJc w:val="left"/>
      <w:pPr>
        <w:tabs>
          <w:tab w:val="num" w:pos="644"/>
        </w:tabs>
        <w:ind w:left="644" w:hanging="360"/>
      </w:pPr>
      <w:rPr>
        <w:rFonts w:cs="Times New Roman" w:hint="default"/>
      </w:rPr>
    </w:lvl>
    <w:lvl w:ilvl="1" w:tplc="04090019" w:tentative="1">
      <w:start w:val="1"/>
      <w:numFmt w:val="lowerLetter"/>
      <w:lvlText w:val="%2."/>
      <w:lvlJc w:val="left"/>
      <w:pPr>
        <w:tabs>
          <w:tab w:val="num" w:pos="1364"/>
        </w:tabs>
        <w:ind w:left="1364" w:hanging="360"/>
      </w:pPr>
      <w:rPr>
        <w:rFonts w:cs="Times New Roman"/>
      </w:rPr>
    </w:lvl>
    <w:lvl w:ilvl="2" w:tplc="0409001B" w:tentative="1">
      <w:start w:val="1"/>
      <w:numFmt w:val="lowerRoman"/>
      <w:lvlText w:val="%3."/>
      <w:lvlJc w:val="right"/>
      <w:pPr>
        <w:tabs>
          <w:tab w:val="num" w:pos="2084"/>
        </w:tabs>
        <w:ind w:left="2084" w:hanging="180"/>
      </w:pPr>
      <w:rPr>
        <w:rFonts w:cs="Times New Roman"/>
      </w:rPr>
    </w:lvl>
    <w:lvl w:ilvl="3" w:tplc="0409000F" w:tentative="1">
      <w:start w:val="1"/>
      <w:numFmt w:val="decimal"/>
      <w:lvlText w:val="%4."/>
      <w:lvlJc w:val="left"/>
      <w:pPr>
        <w:tabs>
          <w:tab w:val="num" w:pos="2804"/>
        </w:tabs>
        <w:ind w:left="2804" w:hanging="360"/>
      </w:pPr>
      <w:rPr>
        <w:rFonts w:cs="Times New Roman"/>
      </w:rPr>
    </w:lvl>
    <w:lvl w:ilvl="4" w:tplc="04090019" w:tentative="1">
      <w:start w:val="1"/>
      <w:numFmt w:val="lowerLetter"/>
      <w:lvlText w:val="%5."/>
      <w:lvlJc w:val="left"/>
      <w:pPr>
        <w:tabs>
          <w:tab w:val="num" w:pos="3524"/>
        </w:tabs>
        <w:ind w:left="3524" w:hanging="360"/>
      </w:pPr>
      <w:rPr>
        <w:rFonts w:cs="Times New Roman"/>
      </w:rPr>
    </w:lvl>
    <w:lvl w:ilvl="5" w:tplc="0409001B" w:tentative="1">
      <w:start w:val="1"/>
      <w:numFmt w:val="lowerRoman"/>
      <w:lvlText w:val="%6."/>
      <w:lvlJc w:val="right"/>
      <w:pPr>
        <w:tabs>
          <w:tab w:val="num" w:pos="4244"/>
        </w:tabs>
        <w:ind w:left="4244" w:hanging="180"/>
      </w:pPr>
      <w:rPr>
        <w:rFonts w:cs="Times New Roman"/>
      </w:rPr>
    </w:lvl>
    <w:lvl w:ilvl="6" w:tplc="0409000F" w:tentative="1">
      <w:start w:val="1"/>
      <w:numFmt w:val="decimal"/>
      <w:lvlText w:val="%7."/>
      <w:lvlJc w:val="left"/>
      <w:pPr>
        <w:tabs>
          <w:tab w:val="num" w:pos="4964"/>
        </w:tabs>
        <w:ind w:left="4964" w:hanging="360"/>
      </w:pPr>
      <w:rPr>
        <w:rFonts w:cs="Times New Roman"/>
      </w:rPr>
    </w:lvl>
    <w:lvl w:ilvl="7" w:tplc="04090019" w:tentative="1">
      <w:start w:val="1"/>
      <w:numFmt w:val="lowerLetter"/>
      <w:lvlText w:val="%8."/>
      <w:lvlJc w:val="left"/>
      <w:pPr>
        <w:tabs>
          <w:tab w:val="num" w:pos="5684"/>
        </w:tabs>
        <w:ind w:left="5684" w:hanging="360"/>
      </w:pPr>
      <w:rPr>
        <w:rFonts w:cs="Times New Roman"/>
      </w:rPr>
    </w:lvl>
    <w:lvl w:ilvl="8" w:tplc="0409001B" w:tentative="1">
      <w:start w:val="1"/>
      <w:numFmt w:val="lowerRoman"/>
      <w:lvlText w:val="%9."/>
      <w:lvlJc w:val="right"/>
      <w:pPr>
        <w:tabs>
          <w:tab w:val="num" w:pos="6404"/>
        </w:tabs>
        <w:ind w:left="6404" w:hanging="180"/>
      </w:pPr>
      <w:rPr>
        <w:rFonts w:cs="Times New Roman"/>
      </w:rPr>
    </w:lvl>
  </w:abstractNum>
  <w:abstractNum w:abstractNumId="34" w15:restartNumberingAfterBreak="0">
    <w:nsid w:val="65CA4F2D"/>
    <w:multiLevelType w:val="hybridMultilevel"/>
    <w:tmpl w:val="E294C9E8"/>
    <w:lvl w:ilvl="0" w:tplc="04090017">
      <w:start w:val="3"/>
      <w:numFmt w:val="upperLetter"/>
      <w:lvlText w:val="%1."/>
      <w:lvlJc w:val="left"/>
      <w:pPr>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5" w15:restartNumberingAfterBreak="0">
    <w:nsid w:val="6B196488"/>
    <w:multiLevelType w:val="hybridMultilevel"/>
    <w:tmpl w:val="C8E8251A"/>
    <w:lvl w:ilvl="0" w:tplc="04090015">
      <w:start w:val="1"/>
      <w:numFmt w:val="upperLetter"/>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BEA3E9E"/>
    <w:multiLevelType w:val="hybridMultilevel"/>
    <w:tmpl w:val="581ED644"/>
    <w:lvl w:ilvl="0" w:tplc="5DA8585A">
      <w:start w:val="1"/>
      <w:numFmt w:val="lowerLetter"/>
      <w:lvlText w:val="%1."/>
      <w:lvlJc w:val="left"/>
      <w:pPr>
        <w:tabs>
          <w:tab w:val="num" w:pos="720"/>
        </w:tabs>
        <w:ind w:left="720" w:hanging="360"/>
      </w:pPr>
      <w:rPr>
        <w:rFonts w:cs="Times New Roman"/>
      </w:rPr>
    </w:lvl>
    <w:lvl w:ilvl="1" w:tplc="04090019">
      <w:start w:val="1"/>
      <w:numFmt w:val="upperLetter"/>
      <w:lvlText w:val="%2."/>
      <w:lvlJc w:val="left"/>
      <w:pPr>
        <w:tabs>
          <w:tab w:val="num" w:pos="1440"/>
        </w:tabs>
        <w:ind w:left="1440" w:hanging="360"/>
      </w:pPr>
      <w:rPr>
        <w:rFonts w:cs="Times New Roman" w:hint="default"/>
      </w:rPr>
    </w:lvl>
    <w:lvl w:ilvl="2" w:tplc="0409001B">
      <w:start w:val="1"/>
      <w:numFmt w:val="bullet"/>
      <w:lvlText w:val=""/>
      <w:lvlJc w:val="left"/>
      <w:pPr>
        <w:tabs>
          <w:tab w:val="num" w:pos="2340"/>
        </w:tabs>
        <w:ind w:left="2320" w:hanging="340"/>
      </w:pPr>
      <w:rPr>
        <w:rFonts w:ascii="Symbol" w:hAnsi="Symbol" w:hint="default"/>
      </w:rPr>
    </w:lvl>
    <w:lvl w:ilvl="3" w:tplc="0409000F">
      <w:start w:val="1"/>
      <w:numFmt w:val="decimal"/>
      <w:lvlText w:val="%4."/>
      <w:lvlJc w:val="left"/>
      <w:pPr>
        <w:tabs>
          <w:tab w:val="num" w:pos="2880"/>
        </w:tabs>
        <w:ind w:left="2880" w:hanging="360"/>
      </w:pPr>
      <w:rPr>
        <w:rFonts w:cs="Times New Roman" w:hint="default"/>
      </w:rPr>
    </w:lvl>
    <w:lvl w:ilvl="4" w:tplc="04090019">
      <w:start w:val="1"/>
      <w:numFmt w:val="bullet"/>
      <w:lvlText w:val=""/>
      <w:lvlJc w:val="left"/>
      <w:pPr>
        <w:tabs>
          <w:tab w:val="num" w:pos="3600"/>
        </w:tabs>
        <w:ind w:left="3580" w:hanging="340"/>
      </w:pPr>
      <w:rPr>
        <w:rFonts w:ascii="Symbol" w:hAnsi="Symbol" w:hint="default"/>
      </w:rPr>
    </w:lvl>
    <w:lvl w:ilvl="5" w:tplc="0409001B">
      <w:start w:val="1"/>
      <w:numFmt w:val="decimal"/>
      <w:lvlText w:val="%6."/>
      <w:lvlJc w:val="left"/>
      <w:pPr>
        <w:tabs>
          <w:tab w:val="num" w:pos="4500"/>
        </w:tabs>
        <w:ind w:left="4500" w:hanging="360"/>
      </w:pPr>
      <w:rPr>
        <w:rFonts w:cs="Times New Roman" w:hint="default"/>
      </w:rPr>
    </w:lvl>
    <w:lvl w:ilvl="6" w:tplc="0409000F">
      <w:start w:val="1"/>
      <w:numFmt w:val="bullet"/>
      <w:lvlText w:val=""/>
      <w:lvlJc w:val="left"/>
      <w:pPr>
        <w:tabs>
          <w:tab w:val="num" w:pos="5040"/>
        </w:tabs>
        <w:ind w:left="5020" w:hanging="340"/>
      </w:pPr>
      <w:rPr>
        <w:rFonts w:ascii="Symbol" w:hAnsi="Symbol" w:hint="default"/>
      </w:rPr>
    </w:lvl>
    <w:lvl w:ilvl="7" w:tplc="04090019">
      <w:start w:val="1"/>
      <w:numFmt w:val="decimal"/>
      <w:lvlText w:val="%8."/>
      <w:lvlJc w:val="left"/>
      <w:pPr>
        <w:tabs>
          <w:tab w:val="num" w:pos="5760"/>
        </w:tabs>
        <w:ind w:left="5760" w:hanging="360"/>
      </w:pPr>
      <w:rPr>
        <w:rFonts w:cs="Times New Roman" w:hint="default"/>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D1C2163"/>
    <w:multiLevelType w:val="hybridMultilevel"/>
    <w:tmpl w:val="45C4F456"/>
    <w:lvl w:ilvl="0" w:tplc="04090019">
      <w:start w:val="1"/>
      <w:numFmt w:val="upperLetter"/>
      <w:lvlText w:val="%1."/>
      <w:lvlJc w:val="left"/>
      <w:pPr>
        <w:tabs>
          <w:tab w:val="num" w:pos="786"/>
        </w:tabs>
        <w:ind w:left="786" w:hanging="360"/>
      </w:pPr>
      <w:rPr>
        <w:rFonts w:cs="Times New Roman" w:hint="default"/>
      </w:rPr>
    </w:lvl>
    <w:lvl w:ilvl="1" w:tplc="58262E3C">
      <w:start w:val="1"/>
      <w:numFmt w:val="decimal"/>
      <w:lvlText w:val="%2."/>
      <w:lvlJc w:val="left"/>
      <w:pPr>
        <w:tabs>
          <w:tab w:val="num" w:pos="1506"/>
        </w:tabs>
        <w:ind w:left="1506" w:hanging="360"/>
      </w:pPr>
      <w:rPr>
        <w:rFonts w:cs="Times New Roman" w:hint="default"/>
      </w:rPr>
    </w:lvl>
    <w:lvl w:ilvl="2" w:tplc="9AE8511E" w:tentative="1">
      <w:start w:val="1"/>
      <w:numFmt w:val="lowerRoman"/>
      <w:lvlText w:val="%3."/>
      <w:lvlJc w:val="right"/>
      <w:pPr>
        <w:tabs>
          <w:tab w:val="num" w:pos="2226"/>
        </w:tabs>
        <w:ind w:left="2226" w:hanging="180"/>
      </w:pPr>
      <w:rPr>
        <w:rFonts w:cs="Times New Roman"/>
      </w:rPr>
    </w:lvl>
    <w:lvl w:ilvl="3" w:tplc="99468E62" w:tentative="1">
      <w:start w:val="1"/>
      <w:numFmt w:val="decimal"/>
      <w:lvlText w:val="%4."/>
      <w:lvlJc w:val="left"/>
      <w:pPr>
        <w:tabs>
          <w:tab w:val="num" w:pos="2946"/>
        </w:tabs>
        <w:ind w:left="2946" w:hanging="360"/>
      </w:pPr>
      <w:rPr>
        <w:rFonts w:cs="Times New Roman"/>
      </w:rPr>
    </w:lvl>
    <w:lvl w:ilvl="4" w:tplc="9AE8511E" w:tentative="1">
      <w:start w:val="1"/>
      <w:numFmt w:val="lowerLetter"/>
      <w:lvlText w:val="%5."/>
      <w:lvlJc w:val="left"/>
      <w:pPr>
        <w:tabs>
          <w:tab w:val="num" w:pos="3666"/>
        </w:tabs>
        <w:ind w:left="3666" w:hanging="360"/>
      </w:pPr>
      <w:rPr>
        <w:rFonts w:cs="Times New Roman"/>
      </w:rPr>
    </w:lvl>
    <w:lvl w:ilvl="5" w:tplc="2EF26720" w:tentative="1">
      <w:start w:val="1"/>
      <w:numFmt w:val="lowerRoman"/>
      <w:lvlText w:val="%6."/>
      <w:lvlJc w:val="right"/>
      <w:pPr>
        <w:tabs>
          <w:tab w:val="num" w:pos="4386"/>
        </w:tabs>
        <w:ind w:left="4386" w:hanging="180"/>
      </w:pPr>
      <w:rPr>
        <w:rFonts w:cs="Times New Roman"/>
      </w:rPr>
    </w:lvl>
    <w:lvl w:ilvl="6" w:tplc="9AE8511E" w:tentative="1">
      <w:start w:val="1"/>
      <w:numFmt w:val="decimal"/>
      <w:lvlText w:val="%7."/>
      <w:lvlJc w:val="left"/>
      <w:pPr>
        <w:tabs>
          <w:tab w:val="num" w:pos="5106"/>
        </w:tabs>
        <w:ind w:left="5106" w:hanging="360"/>
      </w:pPr>
      <w:rPr>
        <w:rFonts w:cs="Times New Roman"/>
      </w:rPr>
    </w:lvl>
    <w:lvl w:ilvl="7" w:tplc="2EF26720" w:tentative="1">
      <w:start w:val="1"/>
      <w:numFmt w:val="lowerLetter"/>
      <w:lvlText w:val="%8."/>
      <w:lvlJc w:val="left"/>
      <w:pPr>
        <w:tabs>
          <w:tab w:val="num" w:pos="5826"/>
        </w:tabs>
        <w:ind w:left="5826" w:hanging="360"/>
      </w:pPr>
      <w:rPr>
        <w:rFonts w:cs="Times New Roman"/>
      </w:rPr>
    </w:lvl>
    <w:lvl w:ilvl="8" w:tplc="0409001B" w:tentative="1">
      <w:start w:val="1"/>
      <w:numFmt w:val="lowerRoman"/>
      <w:lvlText w:val="%9."/>
      <w:lvlJc w:val="right"/>
      <w:pPr>
        <w:tabs>
          <w:tab w:val="num" w:pos="6546"/>
        </w:tabs>
        <w:ind w:left="6546" w:hanging="180"/>
      </w:pPr>
      <w:rPr>
        <w:rFonts w:cs="Times New Roman"/>
      </w:rPr>
    </w:lvl>
  </w:abstractNum>
  <w:abstractNum w:abstractNumId="38" w15:restartNumberingAfterBreak="0">
    <w:nsid w:val="6F7943EE"/>
    <w:multiLevelType w:val="hybridMultilevel"/>
    <w:tmpl w:val="C51A0898"/>
    <w:lvl w:ilvl="0" w:tplc="F5322A82">
      <w:start w:val="1"/>
      <w:numFmt w:val="decimal"/>
      <w:lvlText w:val="%1."/>
      <w:lvlJc w:val="left"/>
      <w:pPr>
        <w:tabs>
          <w:tab w:val="num" w:pos="720"/>
        </w:tabs>
        <w:ind w:left="720" w:hanging="360"/>
      </w:pPr>
      <w:rPr>
        <w:rFonts w:cs="Times New Roman" w:hint="default"/>
      </w:rPr>
    </w:lvl>
    <w:lvl w:ilvl="1" w:tplc="04090019">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18C616F"/>
    <w:multiLevelType w:val="hybridMultilevel"/>
    <w:tmpl w:val="D07A947E"/>
    <w:lvl w:ilvl="0" w:tplc="04090015">
      <w:start w:val="2"/>
      <w:numFmt w:val="upperLetter"/>
      <w:lvlText w:val="%1."/>
      <w:lvlJc w:val="left"/>
      <w:pPr>
        <w:ind w:left="720" w:hanging="360"/>
      </w:pPr>
      <w:rPr>
        <w:rFonts w:cs="Times New Roman" w:hint="default"/>
      </w:rPr>
    </w:lvl>
    <w:lvl w:ilvl="1" w:tplc="CA441532"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DF48C3"/>
    <w:multiLevelType w:val="hybridMultilevel"/>
    <w:tmpl w:val="64860148"/>
    <w:lvl w:ilvl="0" w:tplc="5C14F5E2">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D4D5299"/>
    <w:multiLevelType w:val="hybridMultilevel"/>
    <w:tmpl w:val="F2DEF088"/>
    <w:lvl w:ilvl="0" w:tplc="04090015">
      <w:start w:val="1"/>
      <w:numFmt w:val="decimal"/>
      <w:lvlText w:val="%1."/>
      <w:lvlJc w:val="left"/>
      <w:pPr>
        <w:tabs>
          <w:tab w:val="num" w:pos="720"/>
        </w:tabs>
        <w:ind w:left="720" w:hanging="360"/>
      </w:pPr>
      <w:rPr>
        <w:rFonts w:cs="Times New Roman" w:hint="default"/>
      </w:rPr>
    </w:lvl>
    <w:lvl w:ilvl="1" w:tplc="04090019">
      <w:start w:val="1"/>
      <w:numFmt w:val="upp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37"/>
  </w:num>
  <w:num w:numId="3">
    <w:abstractNumId w:val="8"/>
  </w:num>
  <w:num w:numId="4">
    <w:abstractNumId w:val="33"/>
  </w:num>
  <w:num w:numId="5">
    <w:abstractNumId w:val="39"/>
  </w:num>
  <w:num w:numId="6">
    <w:abstractNumId w:val="40"/>
  </w:num>
  <w:num w:numId="7">
    <w:abstractNumId w:val="24"/>
  </w:num>
  <w:num w:numId="8">
    <w:abstractNumId w:val="10"/>
  </w:num>
  <w:num w:numId="9">
    <w:abstractNumId w:val="28"/>
  </w:num>
  <w:num w:numId="10">
    <w:abstractNumId w:val="0"/>
  </w:num>
  <w:num w:numId="11">
    <w:abstractNumId w:val="3"/>
  </w:num>
  <w:num w:numId="12">
    <w:abstractNumId w:val="9"/>
  </w:num>
  <w:num w:numId="13">
    <w:abstractNumId w:val="41"/>
  </w:num>
  <w:num w:numId="14">
    <w:abstractNumId w:val="30"/>
  </w:num>
  <w:num w:numId="15">
    <w:abstractNumId w:val="26"/>
  </w:num>
  <w:num w:numId="16">
    <w:abstractNumId w:val="32"/>
  </w:num>
  <w:num w:numId="17">
    <w:abstractNumId w:val="35"/>
  </w:num>
  <w:num w:numId="18">
    <w:abstractNumId w:val="23"/>
  </w:num>
  <w:num w:numId="19">
    <w:abstractNumId w:val="1"/>
  </w:num>
  <w:num w:numId="20">
    <w:abstractNumId w:val="17"/>
  </w:num>
  <w:num w:numId="21">
    <w:abstractNumId w:val="22"/>
  </w:num>
  <w:num w:numId="22">
    <w:abstractNumId w:val="4"/>
  </w:num>
  <w:num w:numId="23">
    <w:abstractNumId w:val="14"/>
  </w:num>
  <w:num w:numId="24">
    <w:abstractNumId w:val="38"/>
  </w:num>
  <w:num w:numId="25">
    <w:abstractNumId w:val="18"/>
  </w:num>
  <w:num w:numId="26">
    <w:abstractNumId w:val="12"/>
  </w:num>
  <w:num w:numId="27">
    <w:abstractNumId w:val="15"/>
  </w:num>
  <w:num w:numId="28">
    <w:abstractNumId w:val="2"/>
  </w:num>
  <w:num w:numId="29">
    <w:abstractNumId w:val="31"/>
  </w:num>
  <w:num w:numId="30">
    <w:abstractNumId w:val="20"/>
  </w:num>
  <w:num w:numId="31">
    <w:abstractNumId w:val="36"/>
  </w:num>
  <w:num w:numId="32">
    <w:abstractNumId w:val="19"/>
  </w:num>
  <w:num w:numId="33">
    <w:abstractNumId w:val="34"/>
  </w:num>
  <w:num w:numId="34">
    <w:abstractNumId w:val="16"/>
  </w:num>
  <w:num w:numId="35">
    <w:abstractNumId w:val="25"/>
  </w:num>
  <w:num w:numId="36">
    <w:abstractNumId w:val="29"/>
  </w:num>
  <w:num w:numId="37">
    <w:abstractNumId w:val="27"/>
  </w:num>
  <w:num w:numId="38">
    <w:abstractNumId w:val="6"/>
  </w:num>
  <w:num w:numId="39">
    <w:abstractNumId w:val="7"/>
  </w:num>
  <w:num w:numId="40">
    <w:abstractNumId w:val="21"/>
  </w:num>
  <w:num w:numId="41">
    <w:abstractNumId w:val="13"/>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ZCE2Mjc0MLYxNDY2MjYyUdpeDU4uLM/DyQAqNaAFzu+84sAAAA"/>
  </w:docVars>
  <w:rsids>
    <w:rsidRoot w:val="00A94AF9"/>
    <w:rsid w:val="00000567"/>
    <w:rsid w:val="0000348F"/>
    <w:rsid w:val="000036FC"/>
    <w:rsid w:val="0000372C"/>
    <w:rsid w:val="00004594"/>
    <w:rsid w:val="00004F7E"/>
    <w:rsid w:val="000069D7"/>
    <w:rsid w:val="000069DD"/>
    <w:rsid w:val="0000715A"/>
    <w:rsid w:val="00010BEB"/>
    <w:rsid w:val="00010F86"/>
    <w:rsid w:val="00013AE4"/>
    <w:rsid w:val="00016343"/>
    <w:rsid w:val="000167B3"/>
    <w:rsid w:val="00016A7E"/>
    <w:rsid w:val="00020755"/>
    <w:rsid w:val="00020AC8"/>
    <w:rsid w:val="00020B8E"/>
    <w:rsid w:val="0002245C"/>
    <w:rsid w:val="00023FB3"/>
    <w:rsid w:val="00027176"/>
    <w:rsid w:val="0002726F"/>
    <w:rsid w:val="000306DA"/>
    <w:rsid w:val="00031387"/>
    <w:rsid w:val="000335D0"/>
    <w:rsid w:val="00034EA9"/>
    <w:rsid w:val="00037E25"/>
    <w:rsid w:val="00040022"/>
    <w:rsid w:val="0004086D"/>
    <w:rsid w:val="00042772"/>
    <w:rsid w:val="000440D3"/>
    <w:rsid w:val="00044A5E"/>
    <w:rsid w:val="00046219"/>
    <w:rsid w:val="00053052"/>
    <w:rsid w:val="00055DF6"/>
    <w:rsid w:val="00057D38"/>
    <w:rsid w:val="00061794"/>
    <w:rsid w:val="00061904"/>
    <w:rsid w:val="00063D0E"/>
    <w:rsid w:val="000640E3"/>
    <w:rsid w:val="0006476A"/>
    <w:rsid w:val="000672C3"/>
    <w:rsid w:val="000678BA"/>
    <w:rsid w:val="00071153"/>
    <w:rsid w:val="00075819"/>
    <w:rsid w:val="00077AEA"/>
    <w:rsid w:val="0008065F"/>
    <w:rsid w:val="00081A58"/>
    <w:rsid w:val="00082B38"/>
    <w:rsid w:val="00082FFD"/>
    <w:rsid w:val="00086D74"/>
    <w:rsid w:val="000922C6"/>
    <w:rsid w:val="00092A19"/>
    <w:rsid w:val="00094B7C"/>
    <w:rsid w:val="000966CD"/>
    <w:rsid w:val="00096AC1"/>
    <w:rsid w:val="000A29C9"/>
    <w:rsid w:val="000A2E18"/>
    <w:rsid w:val="000A3A59"/>
    <w:rsid w:val="000A6BBC"/>
    <w:rsid w:val="000B3560"/>
    <w:rsid w:val="000B59FE"/>
    <w:rsid w:val="000B5CA4"/>
    <w:rsid w:val="000B5D1A"/>
    <w:rsid w:val="000C0F55"/>
    <w:rsid w:val="000C3188"/>
    <w:rsid w:val="000C3D95"/>
    <w:rsid w:val="000D0ABA"/>
    <w:rsid w:val="000D323A"/>
    <w:rsid w:val="000D3E89"/>
    <w:rsid w:val="000D4EB3"/>
    <w:rsid w:val="000D6419"/>
    <w:rsid w:val="000D74EE"/>
    <w:rsid w:val="000D752E"/>
    <w:rsid w:val="000D7533"/>
    <w:rsid w:val="000E2EA3"/>
    <w:rsid w:val="000E3B45"/>
    <w:rsid w:val="000E4643"/>
    <w:rsid w:val="000E70E0"/>
    <w:rsid w:val="000F0003"/>
    <w:rsid w:val="000F0552"/>
    <w:rsid w:val="000F0D60"/>
    <w:rsid w:val="000F0D80"/>
    <w:rsid w:val="000F0F3F"/>
    <w:rsid w:val="000F1244"/>
    <w:rsid w:val="000F1A16"/>
    <w:rsid w:val="000F38EA"/>
    <w:rsid w:val="000F5313"/>
    <w:rsid w:val="000F7F1C"/>
    <w:rsid w:val="0010113D"/>
    <w:rsid w:val="001017F9"/>
    <w:rsid w:val="00102894"/>
    <w:rsid w:val="00103B2B"/>
    <w:rsid w:val="001046DC"/>
    <w:rsid w:val="00105752"/>
    <w:rsid w:val="00106F04"/>
    <w:rsid w:val="0010733C"/>
    <w:rsid w:val="001079EF"/>
    <w:rsid w:val="00107EC8"/>
    <w:rsid w:val="00107F56"/>
    <w:rsid w:val="00110251"/>
    <w:rsid w:val="0011259C"/>
    <w:rsid w:val="001164E5"/>
    <w:rsid w:val="001175AD"/>
    <w:rsid w:val="00123540"/>
    <w:rsid w:val="00124A7F"/>
    <w:rsid w:val="0012552B"/>
    <w:rsid w:val="00125BD7"/>
    <w:rsid w:val="001325EF"/>
    <w:rsid w:val="0013350C"/>
    <w:rsid w:val="001348B8"/>
    <w:rsid w:val="00145174"/>
    <w:rsid w:val="00145678"/>
    <w:rsid w:val="00146ADB"/>
    <w:rsid w:val="001471DA"/>
    <w:rsid w:val="00147847"/>
    <w:rsid w:val="00147F3C"/>
    <w:rsid w:val="00150F0A"/>
    <w:rsid w:val="001543F4"/>
    <w:rsid w:val="00161276"/>
    <w:rsid w:val="00161B71"/>
    <w:rsid w:val="001655BF"/>
    <w:rsid w:val="00165FEF"/>
    <w:rsid w:val="00166BD3"/>
    <w:rsid w:val="00170E1F"/>
    <w:rsid w:val="00171101"/>
    <w:rsid w:val="0017110B"/>
    <w:rsid w:val="00174171"/>
    <w:rsid w:val="0017562A"/>
    <w:rsid w:val="001767CE"/>
    <w:rsid w:val="00183DC2"/>
    <w:rsid w:val="001849D1"/>
    <w:rsid w:val="0018574E"/>
    <w:rsid w:val="00190EB0"/>
    <w:rsid w:val="0019232C"/>
    <w:rsid w:val="001929D7"/>
    <w:rsid w:val="001940FB"/>
    <w:rsid w:val="00195750"/>
    <w:rsid w:val="00195F25"/>
    <w:rsid w:val="00196AD8"/>
    <w:rsid w:val="001977F6"/>
    <w:rsid w:val="001A0660"/>
    <w:rsid w:val="001A46CA"/>
    <w:rsid w:val="001A6342"/>
    <w:rsid w:val="001B1845"/>
    <w:rsid w:val="001B5ACB"/>
    <w:rsid w:val="001B5ECE"/>
    <w:rsid w:val="001B613A"/>
    <w:rsid w:val="001B6FA9"/>
    <w:rsid w:val="001B7F4C"/>
    <w:rsid w:val="001C4382"/>
    <w:rsid w:val="001C4EA2"/>
    <w:rsid w:val="001C5C6D"/>
    <w:rsid w:val="001C6D45"/>
    <w:rsid w:val="001D074C"/>
    <w:rsid w:val="001D18D4"/>
    <w:rsid w:val="001D1BF6"/>
    <w:rsid w:val="001D4CA7"/>
    <w:rsid w:val="001D50AB"/>
    <w:rsid w:val="001D5B08"/>
    <w:rsid w:val="001E16D6"/>
    <w:rsid w:val="001E1932"/>
    <w:rsid w:val="001E4B07"/>
    <w:rsid w:val="001E61C0"/>
    <w:rsid w:val="001E6EA1"/>
    <w:rsid w:val="001E7927"/>
    <w:rsid w:val="001F2273"/>
    <w:rsid w:val="001F2A3E"/>
    <w:rsid w:val="001F7CD7"/>
    <w:rsid w:val="002040A7"/>
    <w:rsid w:val="00204DC4"/>
    <w:rsid w:val="00205147"/>
    <w:rsid w:val="00205589"/>
    <w:rsid w:val="0021023D"/>
    <w:rsid w:val="0021034B"/>
    <w:rsid w:val="00210892"/>
    <w:rsid w:val="00211FAD"/>
    <w:rsid w:val="00212798"/>
    <w:rsid w:val="00214DFE"/>
    <w:rsid w:val="00220FAB"/>
    <w:rsid w:val="00221D2D"/>
    <w:rsid w:val="002251CD"/>
    <w:rsid w:val="002268AF"/>
    <w:rsid w:val="002278A4"/>
    <w:rsid w:val="00232E56"/>
    <w:rsid w:val="00233B32"/>
    <w:rsid w:val="002350FE"/>
    <w:rsid w:val="002356F2"/>
    <w:rsid w:val="00235883"/>
    <w:rsid w:val="00235CF2"/>
    <w:rsid w:val="0023724D"/>
    <w:rsid w:val="002376C1"/>
    <w:rsid w:val="00237B30"/>
    <w:rsid w:val="00237DA9"/>
    <w:rsid w:val="0024086F"/>
    <w:rsid w:val="00240FE2"/>
    <w:rsid w:val="002418F1"/>
    <w:rsid w:val="002426FD"/>
    <w:rsid w:val="00242BE3"/>
    <w:rsid w:val="002439B1"/>
    <w:rsid w:val="002452C9"/>
    <w:rsid w:val="00245C91"/>
    <w:rsid w:val="00246722"/>
    <w:rsid w:val="00246AD7"/>
    <w:rsid w:val="00251A17"/>
    <w:rsid w:val="002544EF"/>
    <w:rsid w:val="0025651B"/>
    <w:rsid w:val="002609B9"/>
    <w:rsid w:val="00262CDE"/>
    <w:rsid w:val="00267825"/>
    <w:rsid w:val="00267B14"/>
    <w:rsid w:val="002721E1"/>
    <w:rsid w:val="002730DE"/>
    <w:rsid w:val="0027361B"/>
    <w:rsid w:val="00275E54"/>
    <w:rsid w:val="0027620A"/>
    <w:rsid w:val="002822A4"/>
    <w:rsid w:val="00282C8F"/>
    <w:rsid w:val="002906C1"/>
    <w:rsid w:val="00291EDC"/>
    <w:rsid w:val="00292728"/>
    <w:rsid w:val="00293089"/>
    <w:rsid w:val="00295C2B"/>
    <w:rsid w:val="002963F3"/>
    <w:rsid w:val="00296E53"/>
    <w:rsid w:val="002A17AC"/>
    <w:rsid w:val="002A52B7"/>
    <w:rsid w:val="002B031A"/>
    <w:rsid w:val="002B3104"/>
    <w:rsid w:val="002B3700"/>
    <w:rsid w:val="002C0690"/>
    <w:rsid w:val="002C21FC"/>
    <w:rsid w:val="002C3BD3"/>
    <w:rsid w:val="002C5F1F"/>
    <w:rsid w:val="002D049A"/>
    <w:rsid w:val="002D10EE"/>
    <w:rsid w:val="002D1398"/>
    <w:rsid w:val="002D568F"/>
    <w:rsid w:val="002D78A0"/>
    <w:rsid w:val="002E3F69"/>
    <w:rsid w:val="002E48EA"/>
    <w:rsid w:val="002E4F77"/>
    <w:rsid w:val="002E5A6B"/>
    <w:rsid w:val="002F0A24"/>
    <w:rsid w:val="002F2811"/>
    <w:rsid w:val="002F2B32"/>
    <w:rsid w:val="002F7BC7"/>
    <w:rsid w:val="003004D7"/>
    <w:rsid w:val="00301EC2"/>
    <w:rsid w:val="00304E1E"/>
    <w:rsid w:val="00306E5B"/>
    <w:rsid w:val="00310A40"/>
    <w:rsid w:val="00310C3E"/>
    <w:rsid w:val="0031159C"/>
    <w:rsid w:val="00312682"/>
    <w:rsid w:val="00312B5E"/>
    <w:rsid w:val="00316696"/>
    <w:rsid w:val="00320993"/>
    <w:rsid w:val="00321E3B"/>
    <w:rsid w:val="00327008"/>
    <w:rsid w:val="003276A6"/>
    <w:rsid w:val="003277C9"/>
    <w:rsid w:val="003310D2"/>
    <w:rsid w:val="003338AD"/>
    <w:rsid w:val="00333A4D"/>
    <w:rsid w:val="00334758"/>
    <w:rsid w:val="003349B9"/>
    <w:rsid w:val="003354BF"/>
    <w:rsid w:val="00335942"/>
    <w:rsid w:val="00340E04"/>
    <w:rsid w:val="00342655"/>
    <w:rsid w:val="00346B75"/>
    <w:rsid w:val="00347A35"/>
    <w:rsid w:val="00347E13"/>
    <w:rsid w:val="003501B5"/>
    <w:rsid w:val="0035103A"/>
    <w:rsid w:val="00351DA4"/>
    <w:rsid w:val="00353165"/>
    <w:rsid w:val="00354116"/>
    <w:rsid w:val="00356FB6"/>
    <w:rsid w:val="0036105A"/>
    <w:rsid w:val="003663E6"/>
    <w:rsid w:val="00367705"/>
    <w:rsid w:val="00371568"/>
    <w:rsid w:val="003718BD"/>
    <w:rsid w:val="003737FF"/>
    <w:rsid w:val="00373859"/>
    <w:rsid w:val="00373E77"/>
    <w:rsid w:val="00374F9D"/>
    <w:rsid w:val="003758CC"/>
    <w:rsid w:val="003767AE"/>
    <w:rsid w:val="00380CAF"/>
    <w:rsid w:val="00380D26"/>
    <w:rsid w:val="00381768"/>
    <w:rsid w:val="00384270"/>
    <w:rsid w:val="00384E1C"/>
    <w:rsid w:val="00386CCD"/>
    <w:rsid w:val="003906B0"/>
    <w:rsid w:val="0039124F"/>
    <w:rsid w:val="003943C2"/>
    <w:rsid w:val="0039605D"/>
    <w:rsid w:val="003971D2"/>
    <w:rsid w:val="003A065B"/>
    <w:rsid w:val="003A0A4A"/>
    <w:rsid w:val="003A14FB"/>
    <w:rsid w:val="003A1694"/>
    <w:rsid w:val="003A2E97"/>
    <w:rsid w:val="003A4287"/>
    <w:rsid w:val="003A52DF"/>
    <w:rsid w:val="003B03E8"/>
    <w:rsid w:val="003B0DCC"/>
    <w:rsid w:val="003B0EB5"/>
    <w:rsid w:val="003B1A09"/>
    <w:rsid w:val="003B3963"/>
    <w:rsid w:val="003C0463"/>
    <w:rsid w:val="003C2606"/>
    <w:rsid w:val="003C2990"/>
    <w:rsid w:val="003C63FD"/>
    <w:rsid w:val="003D2736"/>
    <w:rsid w:val="003D2FF4"/>
    <w:rsid w:val="003D454B"/>
    <w:rsid w:val="003D5361"/>
    <w:rsid w:val="003D7DF7"/>
    <w:rsid w:val="003E224B"/>
    <w:rsid w:val="003E3B19"/>
    <w:rsid w:val="003E3FC0"/>
    <w:rsid w:val="003E5006"/>
    <w:rsid w:val="003E5444"/>
    <w:rsid w:val="003E62F5"/>
    <w:rsid w:val="003F126F"/>
    <w:rsid w:val="003F2C1C"/>
    <w:rsid w:val="003F38E7"/>
    <w:rsid w:val="003F5E1A"/>
    <w:rsid w:val="00400CF5"/>
    <w:rsid w:val="00404B33"/>
    <w:rsid w:val="00404BC1"/>
    <w:rsid w:val="004113E7"/>
    <w:rsid w:val="00412C83"/>
    <w:rsid w:val="00412D22"/>
    <w:rsid w:val="00413269"/>
    <w:rsid w:val="00415BF6"/>
    <w:rsid w:val="0041750E"/>
    <w:rsid w:val="004216DA"/>
    <w:rsid w:val="00421D33"/>
    <w:rsid w:val="00423B0A"/>
    <w:rsid w:val="00433CF6"/>
    <w:rsid w:val="00433D72"/>
    <w:rsid w:val="00435E83"/>
    <w:rsid w:val="0043775F"/>
    <w:rsid w:val="004403B7"/>
    <w:rsid w:val="00440AE5"/>
    <w:rsid w:val="00454D07"/>
    <w:rsid w:val="0045728B"/>
    <w:rsid w:val="00460087"/>
    <w:rsid w:val="00460730"/>
    <w:rsid w:val="00462AC2"/>
    <w:rsid w:val="004644FF"/>
    <w:rsid w:val="00472185"/>
    <w:rsid w:val="00473B65"/>
    <w:rsid w:val="0047615F"/>
    <w:rsid w:val="00476221"/>
    <w:rsid w:val="00476A2B"/>
    <w:rsid w:val="0048170D"/>
    <w:rsid w:val="00483ADE"/>
    <w:rsid w:val="00483F8A"/>
    <w:rsid w:val="00484037"/>
    <w:rsid w:val="00486D55"/>
    <w:rsid w:val="004874BA"/>
    <w:rsid w:val="00487FF5"/>
    <w:rsid w:val="00492191"/>
    <w:rsid w:val="00494C51"/>
    <w:rsid w:val="00496193"/>
    <w:rsid w:val="004975FA"/>
    <w:rsid w:val="004A253B"/>
    <w:rsid w:val="004A2839"/>
    <w:rsid w:val="004A3A53"/>
    <w:rsid w:val="004A44E8"/>
    <w:rsid w:val="004A7735"/>
    <w:rsid w:val="004B24DE"/>
    <w:rsid w:val="004B5AB2"/>
    <w:rsid w:val="004C0B1C"/>
    <w:rsid w:val="004C141C"/>
    <w:rsid w:val="004C6ECC"/>
    <w:rsid w:val="004C7599"/>
    <w:rsid w:val="004D0FD4"/>
    <w:rsid w:val="004D1ACD"/>
    <w:rsid w:val="004D2BE0"/>
    <w:rsid w:val="004D37E4"/>
    <w:rsid w:val="004D3914"/>
    <w:rsid w:val="004D4991"/>
    <w:rsid w:val="004D4B91"/>
    <w:rsid w:val="004D5B83"/>
    <w:rsid w:val="004E0BBC"/>
    <w:rsid w:val="004E4037"/>
    <w:rsid w:val="004E7BE7"/>
    <w:rsid w:val="004F13AF"/>
    <w:rsid w:val="004F24A6"/>
    <w:rsid w:val="004F43C0"/>
    <w:rsid w:val="004F4429"/>
    <w:rsid w:val="004F7EAC"/>
    <w:rsid w:val="00500EEF"/>
    <w:rsid w:val="005036BB"/>
    <w:rsid w:val="005041E8"/>
    <w:rsid w:val="00510097"/>
    <w:rsid w:val="00510E0F"/>
    <w:rsid w:val="0051259F"/>
    <w:rsid w:val="00512E5C"/>
    <w:rsid w:val="00516FBC"/>
    <w:rsid w:val="0053088A"/>
    <w:rsid w:val="00532BBB"/>
    <w:rsid w:val="00533A94"/>
    <w:rsid w:val="00534CB7"/>
    <w:rsid w:val="00542B97"/>
    <w:rsid w:val="00542C35"/>
    <w:rsid w:val="005517B3"/>
    <w:rsid w:val="00551D59"/>
    <w:rsid w:val="00553A9F"/>
    <w:rsid w:val="0055556C"/>
    <w:rsid w:val="0055601F"/>
    <w:rsid w:val="005562B2"/>
    <w:rsid w:val="00556A7D"/>
    <w:rsid w:val="00560408"/>
    <w:rsid w:val="00560D73"/>
    <w:rsid w:val="005636A9"/>
    <w:rsid w:val="00563D56"/>
    <w:rsid w:val="005644D3"/>
    <w:rsid w:val="00564CCE"/>
    <w:rsid w:val="00565027"/>
    <w:rsid w:val="00566CAA"/>
    <w:rsid w:val="005671F4"/>
    <w:rsid w:val="00567899"/>
    <w:rsid w:val="00570C14"/>
    <w:rsid w:val="00572260"/>
    <w:rsid w:val="0057347C"/>
    <w:rsid w:val="0057613A"/>
    <w:rsid w:val="00577B2F"/>
    <w:rsid w:val="0058341D"/>
    <w:rsid w:val="005844E5"/>
    <w:rsid w:val="00584D01"/>
    <w:rsid w:val="00586A1A"/>
    <w:rsid w:val="0058779E"/>
    <w:rsid w:val="005946AC"/>
    <w:rsid w:val="00594EBC"/>
    <w:rsid w:val="005968B1"/>
    <w:rsid w:val="005973BF"/>
    <w:rsid w:val="005A1EDB"/>
    <w:rsid w:val="005A1EF6"/>
    <w:rsid w:val="005A3B27"/>
    <w:rsid w:val="005A4554"/>
    <w:rsid w:val="005A4E3D"/>
    <w:rsid w:val="005A5058"/>
    <w:rsid w:val="005A5592"/>
    <w:rsid w:val="005A6C05"/>
    <w:rsid w:val="005B2B55"/>
    <w:rsid w:val="005B3072"/>
    <w:rsid w:val="005B3406"/>
    <w:rsid w:val="005B3414"/>
    <w:rsid w:val="005B3FA0"/>
    <w:rsid w:val="005B4685"/>
    <w:rsid w:val="005B712A"/>
    <w:rsid w:val="005C00FC"/>
    <w:rsid w:val="005C077B"/>
    <w:rsid w:val="005C1ADA"/>
    <w:rsid w:val="005C5D83"/>
    <w:rsid w:val="005C61BD"/>
    <w:rsid w:val="005D0025"/>
    <w:rsid w:val="005D0D6C"/>
    <w:rsid w:val="005D3E58"/>
    <w:rsid w:val="005D45E1"/>
    <w:rsid w:val="005D7E75"/>
    <w:rsid w:val="005E1A75"/>
    <w:rsid w:val="005E223C"/>
    <w:rsid w:val="005E3BBB"/>
    <w:rsid w:val="005E419C"/>
    <w:rsid w:val="005F159E"/>
    <w:rsid w:val="005F4348"/>
    <w:rsid w:val="005F5DAF"/>
    <w:rsid w:val="005F7540"/>
    <w:rsid w:val="00600FE4"/>
    <w:rsid w:val="00605044"/>
    <w:rsid w:val="00606E35"/>
    <w:rsid w:val="00610345"/>
    <w:rsid w:val="0061038B"/>
    <w:rsid w:val="00610ADA"/>
    <w:rsid w:val="00610F1B"/>
    <w:rsid w:val="00612689"/>
    <w:rsid w:val="00612F76"/>
    <w:rsid w:val="0061313A"/>
    <w:rsid w:val="00614077"/>
    <w:rsid w:val="00614440"/>
    <w:rsid w:val="006151BF"/>
    <w:rsid w:val="00617B91"/>
    <w:rsid w:val="00623759"/>
    <w:rsid w:val="00624F7A"/>
    <w:rsid w:val="006256EA"/>
    <w:rsid w:val="00626884"/>
    <w:rsid w:val="0063494A"/>
    <w:rsid w:val="00634E10"/>
    <w:rsid w:val="00636D99"/>
    <w:rsid w:val="00637BDC"/>
    <w:rsid w:val="00641350"/>
    <w:rsid w:val="006413AD"/>
    <w:rsid w:val="006439FD"/>
    <w:rsid w:val="00644C82"/>
    <w:rsid w:val="006452C9"/>
    <w:rsid w:val="00646082"/>
    <w:rsid w:val="0065079D"/>
    <w:rsid w:val="00651FA6"/>
    <w:rsid w:val="0065400B"/>
    <w:rsid w:val="00654689"/>
    <w:rsid w:val="0065713C"/>
    <w:rsid w:val="00657497"/>
    <w:rsid w:val="006608E1"/>
    <w:rsid w:val="006636B4"/>
    <w:rsid w:val="00664D61"/>
    <w:rsid w:val="00666E2B"/>
    <w:rsid w:val="00666F15"/>
    <w:rsid w:val="00671824"/>
    <w:rsid w:val="00672B36"/>
    <w:rsid w:val="0067322C"/>
    <w:rsid w:val="006750F6"/>
    <w:rsid w:val="006760F2"/>
    <w:rsid w:val="00676E8C"/>
    <w:rsid w:val="0068687F"/>
    <w:rsid w:val="0068750E"/>
    <w:rsid w:val="0068751F"/>
    <w:rsid w:val="006915DB"/>
    <w:rsid w:val="00694B1E"/>
    <w:rsid w:val="00694CEE"/>
    <w:rsid w:val="00696BE2"/>
    <w:rsid w:val="006A005A"/>
    <w:rsid w:val="006A3F4F"/>
    <w:rsid w:val="006A7DF3"/>
    <w:rsid w:val="006B22B9"/>
    <w:rsid w:val="006B3EC9"/>
    <w:rsid w:val="006B6BF9"/>
    <w:rsid w:val="006B78CA"/>
    <w:rsid w:val="006B7A67"/>
    <w:rsid w:val="006C2AA2"/>
    <w:rsid w:val="006C2EFD"/>
    <w:rsid w:val="006C62CF"/>
    <w:rsid w:val="006C729C"/>
    <w:rsid w:val="006D01E3"/>
    <w:rsid w:val="006D0578"/>
    <w:rsid w:val="006D2135"/>
    <w:rsid w:val="006D3C43"/>
    <w:rsid w:val="006D54B8"/>
    <w:rsid w:val="006D58AE"/>
    <w:rsid w:val="006D7487"/>
    <w:rsid w:val="006D7A75"/>
    <w:rsid w:val="006E61FE"/>
    <w:rsid w:val="006E661B"/>
    <w:rsid w:val="006E6C7C"/>
    <w:rsid w:val="006F10DF"/>
    <w:rsid w:val="006F2F4A"/>
    <w:rsid w:val="006F3739"/>
    <w:rsid w:val="006F436A"/>
    <w:rsid w:val="00700D36"/>
    <w:rsid w:val="007021F6"/>
    <w:rsid w:val="007036C3"/>
    <w:rsid w:val="00703870"/>
    <w:rsid w:val="00705CED"/>
    <w:rsid w:val="0070751B"/>
    <w:rsid w:val="00710743"/>
    <w:rsid w:val="007112E1"/>
    <w:rsid w:val="007127E7"/>
    <w:rsid w:val="00712988"/>
    <w:rsid w:val="00713595"/>
    <w:rsid w:val="00714122"/>
    <w:rsid w:val="007154FB"/>
    <w:rsid w:val="007162CB"/>
    <w:rsid w:val="007229B3"/>
    <w:rsid w:val="00726A53"/>
    <w:rsid w:val="007272C4"/>
    <w:rsid w:val="0073064E"/>
    <w:rsid w:val="00733B8B"/>
    <w:rsid w:val="00742570"/>
    <w:rsid w:val="00753F35"/>
    <w:rsid w:val="00754C71"/>
    <w:rsid w:val="007616FE"/>
    <w:rsid w:val="007619DB"/>
    <w:rsid w:val="00763E35"/>
    <w:rsid w:val="007665CE"/>
    <w:rsid w:val="00767EC0"/>
    <w:rsid w:val="00774321"/>
    <w:rsid w:val="0077505B"/>
    <w:rsid w:val="00775860"/>
    <w:rsid w:val="0078080A"/>
    <w:rsid w:val="00780BD3"/>
    <w:rsid w:val="007828CD"/>
    <w:rsid w:val="00784656"/>
    <w:rsid w:val="00784FCD"/>
    <w:rsid w:val="00785351"/>
    <w:rsid w:val="00787357"/>
    <w:rsid w:val="00787BD2"/>
    <w:rsid w:val="0079119B"/>
    <w:rsid w:val="00791C5B"/>
    <w:rsid w:val="007937C9"/>
    <w:rsid w:val="00794E73"/>
    <w:rsid w:val="00795294"/>
    <w:rsid w:val="007955C6"/>
    <w:rsid w:val="007A084A"/>
    <w:rsid w:val="007A366B"/>
    <w:rsid w:val="007B0687"/>
    <w:rsid w:val="007B100F"/>
    <w:rsid w:val="007B1962"/>
    <w:rsid w:val="007B5270"/>
    <w:rsid w:val="007C23F4"/>
    <w:rsid w:val="007C4B1F"/>
    <w:rsid w:val="007D1941"/>
    <w:rsid w:val="007D34B8"/>
    <w:rsid w:val="007D3FBE"/>
    <w:rsid w:val="007D5FE2"/>
    <w:rsid w:val="007D7D72"/>
    <w:rsid w:val="007E0408"/>
    <w:rsid w:val="007E31C3"/>
    <w:rsid w:val="007E382F"/>
    <w:rsid w:val="007E67FB"/>
    <w:rsid w:val="007E78D8"/>
    <w:rsid w:val="007E7A7E"/>
    <w:rsid w:val="007F0E7F"/>
    <w:rsid w:val="007F1A86"/>
    <w:rsid w:val="007F4E7C"/>
    <w:rsid w:val="007F5813"/>
    <w:rsid w:val="007F5B18"/>
    <w:rsid w:val="007F704C"/>
    <w:rsid w:val="007F7CC5"/>
    <w:rsid w:val="007F7D1B"/>
    <w:rsid w:val="00800845"/>
    <w:rsid w:val="008052EE"/>
    <w:rsid w:val="00807483"/>
    <w:rsid w:val="00812810"/>
    <w:rsid w:val="00813554"/>
    <w:rsid w:val="008149EA"/>
    <w:rsid w:val="00821FAC"/>
    <w:rsid w:val="008245A8"/>
    <w:rsid w:val="00830E43"/>
    <w:rsid w:val="0083158A"/>
    <w:rsid w:val="00834969"/>
    <w:rsid w:val="00843707"/>
    <w:rsid w:val="00844687"/>
    <w:rsid w:val="00845DC6"/>
    <w:rsid w:val="00851E96"/>
    <w:rsid w:val="00852C14"/>
    <w:rsid w:val="00852D5A"/>
    <w:rsid w:val="008533BA"/>
    <w:rsid w:val="008533DC"/>
    <w:rsid w:val="008536CC"/>
    <w:rsid w:val="00855C8E"/>
    <w:rsid w:val="00855DA9"/>
    <w:rsid w:val="008573C6"/>
    <w:rsid w:val="00860F85"/>
    <w:rsid w:val="00862377"/>
    <w:rsid w:val="0086732C"/>
    <w:rsid w:val="0086751C"/>
    <w:rsid w:val="00872136"/>
    <w:rsid w:val="00876593"/>
    <w:rsid w:val="00876AC1"/>
    <w:rsid w:val="00876AF4"/>
    <w:rsid w:val="00877BA1"/>
    <w:rsid w:val="00883042"/>
    <w:rsid w:val="00883B49"/>
    <w:rsid w:val="00891641"/>
    <w:rsid w:val="00892B03"/>
    <w:rsid w:val="0089337E"/>
    <w:rsid w:val="008939E1"/>
    <w:rsid w:val="00894B79"/>
    <w:rsid w:val="00896D03"/>
    <w:rsid w:val="00897348"/>
    <w:rsid w:val="00897E1B"/>
    <w:rsid w:val="00897E26"/>
    <w:rsid w:val="008B1812"/>
    <w:rsid w:val="008B1CAD"/>
    <w:rsid w:val="008B4B05"/>
    <w:rsid w:val="008B6304"/>
    <w:rsid w:val="008B7B95"/>
    <w:rsid w:val="008C28E4"/>
    <w:rsid w:val="008C7AEA"/>
    <w:rsid w:val="008D06E5"/>
    <w:rsid w:val="008D5D7A"/>
    <w:rsid w:val="008D68D8"/>
    <w:rsid w:val="008D747C"/>
    <w:rsid w:val="008E04E7"/>
    <w:rsid w:val="008E0CA5"/>
    <w:rsid w:val="008E46BA"/>
    <w:rsid w:val="008E4854"/>
    <w:rsid w:val="008E5CEA"/>
    <w:rsid w:val="008E6BBF"/>
    <w:rsid w:val="008F00A7"/>
    <w:rsid w:val="008F146A"/>
    <w:rsid w:val="008F31EC"/>
    <w:rsid w:val="008F3C0D"/>
    <w:rsid w:val="00900104"/>
    <w:rsid w:val="00901D4E"/>
    <w:rsid w:val="0090205B"/>
    <w:rsid w:val="00904C3E"/>
    <w:rsid w:val="00905233"/>
    <w:rsid w:val="00905CF7"/>
    <w:rsid w:val="0090705B"/>
    <w:rsid w:val="00911AF4"/>
    <w:rsid w:val="00911E2F"/>
    <w:rsid w:val="00914081"/>
    <w:rsid w:val="00921F57"/>
    <w:rsid w:val="00926254"/>
    <w:rsid w:val="00930AFB"/>
    <w:rsid w:val="00937310"/>
    <w:rsid w:val="0094120D"/>
    <w:rsid w:val="0094144D"/>
    <w:rsid w:val="009415DD"/>
    <w:rsid w:val="00943260"/>
    <w:rsid w:val="00943C73"/>
    <w:rsid w:val="009501D8"/>
    <w:rsid w:val="00950DC7"/>
    <w:rsid w:val="00952279"/>
    <w:rsid w:val="0095421D"/>
    <w:rsid w:val="00960BAF"/>
    <w:rsid w:val="00963487"/>
    <w:rsid w:val="009637D3"/>
    <w:rsid w:val="009645B3"/>
    <w:rsid w:val="00971609"/>
    <w:rsid w:val="00972F53"/>
    <w:rsid w:val="009742CD"/>
    <w:rsid w:val="00976113"/>
    <w:rsid w:val="0098228B"/>
    <w:rsid w:val="00983CD3"/>
    <w:rsid w:val="00984DE0"/>
    <w:rsid w:val="00987C17"/>
    <w:rsid w:val="00991110"/>
    <w:rsid w:val="00992FB2"/>
    <w:rsid w:val="009940A7"/>
    <w:rsid w:val="0099495E"/>
    <w:rsid w:val="009A263B"/>
    <w:rsid w:val="009A2994"/>
    <w:rsid w:val="009A4C0D"/>
    <w:rsid w:val="009A5AF7"/>
    <w:rsid w:val="009B2D5F"/>
    <w:rsid w:val="009B4635"/>
    <w:rsid w:val="009C10CD"/>
    <w:rsid w:val="009C1FCC"/>
    <w:rsid w:val="009C23A7"/>
    <w:rsid w:val="009C313F"/>
    <w:rsid w:val="009C4D1B"/>
    <w:rsid w:val="009C5016"/>
    <w:rsid w:val="009C6EEC"/>
    <w:rsid w:val="009D0672"/>
    <w:rsid w:val="009D4BBE"/>
    <w:rsid w:val="009D5BE0"/>
    <w:rsid w:val="009D7346"/>
    <w:rsid w:val="009E5D27"/>
    <w:rsid w:val="009E7973"/>
    <w:rsid w:val="009F0029"/>
    <w:rsid w:val="009F08D6"/>
    <w:rsid w:val="009F0ABE"/>
    <w:rsid w:val="009F0D65"/>
    <w:rsid w:val="009F240F"/>
    <w:rsid w:val="009F2A9B"/>
    <w:rsid w:val="009F5939"/>
    <w:rsid w:val="00A031F0"/>
    <w:rsid w:val="00A03B15"/>
    <w:rsid w:val="00A0423A"/>
    <w:rsid w:val="00A04A34"/>
    <w:rsid w:val="00A04BFF"/>
    <w:rsid w:val="00A064BE"/>
    <w:rsid w:val="00A07945"/>
    <w:rsid w:val="00A112DC"/>
    <w:rsid w:val="00A15223"/>
    <w:rsid w:val="00A17506"/>
    <w:rsid w:val="00A21174"/>
    <w:rsid w:val="00A2289B"/>
    <w:rsid w:val="00A30DAC"/>
    <w:rsid w:val="00A336C4"/>
    <w:rsid w:val="00A34DAE"/>
    <w:rsid w:val="00A359F6"/>
    <w:rsid w:val="00A431D4"/>
    <w:rsid w:val="00A44D62"/>
    <w:rsid w:val="00A465FB"/>
    <w:rsid w:val="00A47A30"/>
    <w:rsid w:val="00A511D9"/>
    <w:rsid w:val="00A53529"/>
    <w:rsid w:val="00A54A97"/>
    <w:rsid w:val="00A5733A"/>
    <w:rsid w:val="00A601F4"/>
    <w:rsid w:val="00A64100"/>
    <w:rsid w:val="00A654D4"/>
    <w:rsid w:val="00A662A2"/>
    <w:rsid w:val="00A70C0A"/>
    <w:rsid w:val="00A73327"/>
    <w:rsid w:val="00A73E7A"/>
    <w:rsid w:val="00A74163"/>
    <w:rsid w:val="00A7469A"/>
    <w:rsid w:val="00A74914"/>
    <w:rsid w:val="00A75610"/>
    <w:rsid w:val="00A76BC9"/>
    <w:rsid w:val="00A814C1"/>
    <w:rsid w:val="00A81AA9"/>
    <w:rsid w:val="00A81EBF"/>
    <w:rsid w:val="00A8250A"/>
    <w:rsid w:val="00A83159"/>
    <w:rsid w:val="00A8671A"/>
    <w:rsid w:val="00A86AC1"/>
    <w:rsid w:val="00A86C44"/>
    <w:rsid w:val="00A870E6"/>
    <w:rsid w:val="00A9138D"/>
    <w:rsid w:val="00A94021"/>
    <w:rsid w:val="00A94AF9"/>
    <w:rsid w:val="00AA290E"/>
    <w:rsid w:val="00AA2EC2"/>
    <w:rsid w:val="00AA51AF"/>
    <w:rsid w:val="00AB18B1"/>
    <w:rsid w:val="00AB1D32"/>
    <w:rsid w:val="00AB5BC6"/>
    <w:rsid w:val="00AB64CB"/>
    <w:rsid w:val="00AB6561"/>
    <w:rsid w:val="00AB6CB5"/>
    <w:rsid w:val="00AC32BD"/>
    <w:rsid w:val="00AC4011"/>
    <w:rsid w:val="00AD1298"/>
    <w:rsid w:val="00AD4BEA"/>
    <w:rsid w:val="00AD5AD5"/>
    <w:rsid w:val="00AD7692"/>
    <w:rsid w:val="00AE079D"/>
    <w:rsid w:val="00AE1032"/>
    <w:rsid w:val="00AE289C"/>
    <w:rsid w:val="00AE5D65"/>
    <w:rsid w:val="00AF0401"/>
    <w:rsid w:val="00AF173B"/>
    <w:rsid w:val="00AF3C4A"/>
    <w:rsid w:val="00AF6176"/>
    <w:rsid w:val="00AF73CA"/>
    <w:rsid w:val="00AF74E6"/>
    <w:rsid w:val="00B0164F"/>
    <w:rsid w:val="00B02B32"/>
    <w:rsid w:val="00B03558"/>
    <w:rsid w:val="00B03DD5"/>
    <w:rsid w:val="00B04C6C"/>
    <w:rsid w:val="00B05EFC"/>
    <w:rsid w:val="00B10094"/>
    <w:rsid w:val="00B116A5"/>
    <w:rsid w:val="00B13341"/>
    <w:rsid w:val="00B16851"/>
    <w:rsid w:val="00B17DEA"/>
    <w:rsid w:val="00B17F72"/>
    <w:rsid w:val="00B20F22"/>
    <w:rsid w:val="00B216FC"/>
    <w:rsid w:val="00B221DB"/>
    <w:rsid w:val="00B2328A"/>
    <w:rsid w:val="00B243A0"/>
    <w:rsid w:val="00B26E3D"/>
    <w:rsid w:val="00B276F2"/>
    <w:rsid w:val="00B31807"/>
    <w:rsid w:val="00B31A16"/>
    <w:rsid w:val="00B31F40"/>
    <w:rsid w:val="00B33637"/>
    <w:rsid w:val="00B357FC"/>
    <w:rsid w:val="00B35F61"/>
    <w:rsid w:val="00B440D4"/>
    <w:rsid w:val="00B4600E"/>
    <w:rsid w:val="00B46A59"/>
    <w:rsid w:val="00B46AD1"/>
    <w:rsid w:val="00B47B03"/>
    <w:rsid w:val="00B51CA0"/>
    <w:rsid w:val="00B54ED5"/>
    <w:rsid w:val="00B5621A"/>
    <w:rsid w:val="00B574DE"/>
    <w:rsid w:val="00B577EE"/>
    <w:rsid w:val="00B578E0"/>
    <w:rsid w:val="00B60FB2"/>
    <w:rsid w:val="00B61B9A"/>
    <w:rsid w:val="00B6428F"/>
    <w:rsid w:val="00B72CED"/>
    <w:rsid w:val="00B72FC3"/>
    <w:rsid w:val="00B73C30"/>
    <w:rsid w:val="00B74940"/>
    <w:rsid w:val="00B74C68"/>
    <w:rsid w:val="00B756EA"/>
    <w:rsid w:val="00B76811"/>
    <w:rsid w:val="00B82090"/>
    <w:rsid w:val="00B8336E"/>
    <w:rsid w:val="00B856D4"/>
    <w:rsid w:val="00B863A5"/>
    <w:rsid w:val="00B865FE"/>
    <w:rsid w:val="00B867DA"/>
    <w:rsid w:val="00B86CF6"/>
    <w:rsid w:val="00B87B78"/>
    <w:rsid w:val="00B909A0"/>
    <w:rsid w:val="00B93382"/>
    <w:rsid w:val="00B93DFB"/>
    <w:rsid w:val="00B94995"/>
    <w:rsid w:val="00B961BB"/>
    <w:rsid w:val="00BA05AA"/>
    <w:rsid w:val="00BA0E81"/>
    <w:rsid w:val="00BA0EFA"/>
    <w:rsid w:val="00BA143B"/>
    <w:rsid w:val="00BA5193"/>
    <w:rsid w:val="00BA77EC"/>
    <w:rsid w:val="00BB0AE6"/>
    <w:rsid w:val="00BB384A"/>
    <w:rsid w:val="00BB429D"/>
    <w:rsid w:val="00BB5370"/>
    <w:rsid w:val="00BB5897"/>
    <w:rsid w:val="00BB68D7"/>
    <w:rsid w:val="00BB699A"/>
    <w:rsid w:val="00BC0983"/>
    <w:rsid w:val="00BC1B6E"/>
    <w:rsid w:val="00BC2A48"/>
    <w:rsid w:val="00BC2B3B"/>
    <w:rsid w:val="00BC49A5"/>
    <w:rsid w:val="00BC5635"/>
    <w:rsid w:val="00BD110E"/>
    <w:rsid w:val="00BD2BDF"/>
    <w:rsid w:val="00BD7C24"/>
    <w:rsid w:val="00BE0302"/>
    <w:rsid w:val="00BE3A55"/>
    <w:rsid w:val="00BE5C54"/>
    <w:rsid w:val="00BE603F"/>
    <w:rsid w:val="00BE69FB"/>
    <w:rsid w:val="00BF0445"/>
    <w:rsid w:val="00BF57CC"/>
    <w:rsid w:val="00C03724"/>
    <w:rsid w:val="00C0384F"/>
    <w:rsid w:val="00C0387C"/>
    <w:rsid w:val="00C04C35"/>
    <w:rsid w:val="00C05B42"/>
    <w:rsid w:val="00C07388"/>
    <w:rsid w:val="00C11FE4"/>
    <w:rsid w:val="00C14069"/>
    <w:rsid w:val="00C14EBE"/>
    <w:rsid w:val="00C1502C"/>
    <w:rsid w:val="00C17164"/>
    <w:rsid w:val="00C203DF"/>
    <w:rsid w:val="00C215ED"/>
    <w:rsid w:val="00C21CFB"/>
    <w:rsid w:val="00C23B7A"/>
    <w:rsid w:val="00C2474E"/>
    <w:rsid w:val="00C249F5"/>
    <w:rsid w:val="00C25BD6"/>
    <w:rsid w:val="00C25F45"/>
    <w:rsid w:val="00C275F6"/>
    <w:rsid w:val="00C32981"/>
    <w:rsid w:val="00C361EA"/>
    <w:rsid w:val="00C369B3"/>
    <w:rsid w:val="00C36A4B"/>
    <w:rsid w:val="00C36F0B"/>
    <w:rsid w:val="00C40B9E"/>
    <w:rsid w:val="00C41CD1"/>
    <w:rsid w:val="00C452BF"/>
    <w:rsid w:val="00C4541F"/>
    <w:rsid w:val="00C510FD"/>
    <w:rsid w:val="00C52E32"/>
    <w:rsid w:val="00C55225"/>
    <w:rsid w:val="00C56291"/>
    <w:rsid w:val="00C5669D"/>
    <w:rsid w:val="00C56CE8"/>
    <w:rsid w:val="00C56D38"/>
    <w:rsid w:val="00C63D7D"/>
    <w:rsid w:val="00C6468C"/>
    <w:rsid w:val="00C703BD"/>
    <w:rsid w:val="00C72E8F"/>
    <w:rsid w:val="00C736A8"/>
    <w:rsid w:val="00C74778"/>
    <w:rsid w:val="00C754DD"/>
    <w:rsid w:val="00C7691F"/>
    <w:rsid w:val="00C7783A"/>
    <w:rsid w:val="00C805FE"/>
    <w:rsid w:val="00C81CDF"/>
    <w:rsid w:val="00C82365"/>
    <w:rsid w:val="00C83120"/>
    <w:rsid w:val="00C83E95"/>
    <w:rsid w:val="00C84680"/>
    <w:rsid w:val="00C8692E"/>
    <w:rsid w:val="00C872A0"/>
    <w:rsid w:val="00C9189F"/>
    <w:rsid w:val="00C93ED4"/>
    <w:rsid w:val="00C960A3"/>
    <w:rsid w:val="00C96580"/>
    <w:rsid w:val="00C973F7"/>
    <w:rsid w:val="00CA4819"/>
    <w:rsid w:val="00CA5A98"/>
    <w:rsid w:val="00CA6292"/>
    <w:rsid w:val="00CA6835"/>
    <w:rsid w:val="00CB15ED"/>
    <w:rsid w:val="00CB38CC"/>
    <w:rsid w:val="00CB3C00"/>
    <w:rsid w:val="00CB3C5A"/>
    <w:rsid w:val="00CC3157"/>
    <w:rsid w:val="00CC6549"/>
    <w:rsid w:val="00CD77A2"/>
    <w:rsid w:val="00CE1938"/>
    <w:rsid w:val="00CE2234"/>
    <w:rsid w:val="00CE3816"/>
    <w:rsid w:val="00CE43F2"/>
    <w:rsid w:val="00CE7208"/>
    <w:rsid w:val="00CF1B17"/>
    <w:rsid w:val="00CF21C7"/>
    <w:rsid w:val="00CF3E61"/>
    <w:rsid w:val="00CF4AC0"/>
    <w:rsid w:val="00CF66E3"/>
    <w:rsid w:val="00CF6B6D"/>
    <w:rsid w:val="00CF7B0E"/>
    <w:rsid w:val="00CF7E8D"/>
    <w:rsid w:val="00D02DE0"/>
    <w:rsid w:val="00D06D05"/>
    <w:rsid w:val="00D07BEE"/>
    <w:rsid w:val="00D11751"/>
    <w:rsid w:val="00D11FAA"/>
    <w:rsid w:val="00D13DB4"/>
    <w:rsid w:val="00D141AD"/>
    <w:rsid w:val="00D154D7"/>
    <w:rsid w:val="00D15F1A"/>
    <w:rsid w:val="00D160BF"/>
    <w:rsid w:val="00D17780"/>
    <w:rsid w:val="00D17840"/>
    <w:rsid w:val="00D20722"/>
    <w:rsid w:val="00D22AB8"/>
    <w:rsid w:val="00D2793A"/>
    <w:rsid w:val="00D3082C"/>
    <w:rsid w:val="00D34512"/>
    <w:rsid w:val="00D35E5F"/>
    <w:rsid w:val="00D3632A"/>
    <w:rsid w:val="00D3674D"/>
    <w:rsid w:val="00D36C5E"/>
    <w:rsid w:val="00D4027C"/>
    <w:rsid w:val="00D4274F"/>
    <w:rsid w:val="00D44343"/>
    <w:rsid w:val="00D454BE"/>
    <w:rsid w:val="00D51F8D"/>
    <w:rsid w:val="00D54B57"/>
    <w:rsid w:val="00D564A5"/>
    <w:rsid w:val="00D56578"/>
    <w:rsid w:val="00D56616"/>
    <w:rsid w:val="00D61E81"/>
    <w:rsid w:val="00D62EE3"/>
    <w:rsid w:val="00D64479"/>
    <w:rsid w:val="00D64F48"/>
    <w:rsid w:val="00D65CCF"/>
    <w:rsid w:val="00D6625F"/>
    <w:rsid w:val="00D66815"/>
    <w:rsid w:val="00D66B99"/>
    <w:rsid w:val="00D6780D"/>
    <w:rsid w:val="00D70634"/>
    <w:rsid w:val="00D72004"/>
    <w:rsid w:val="00D72CAB"/>
    <w:rsid w:val="00D744E5"/>
    <w:rsid w:val="00D7455D"/>
    <w:rsid w:val="00D8007A"/>
    <w:rsid w:val="00D81B16"/>
    <w:rsid w:val="00D835C4"/>
    <w:rsid w:val="00D85273"/>
    <w:rsid w:val="00D91552"/>
    <w:rsid w:val="00D94682"/>
    <w:rsid w:val="00D95D03"/>
    <w:rsid w:val="00D95E88"/>
    <w:rsid w:val="00DA20FE"/>
    <w:rsid w:val="00DA286C"/>
    <w:rsid w:val="00DA413B"/>
    <w:rsid w:val="00DA62D0"/>
    <w:rsid w:val="00DA698B"/>
    <w:rsid w:val="00DB3599"/>
    <w:rsid w:val="00DB3FC3"/>
    <w:rsid w:val="00DB63D1"/>
    <w:rsid w:val="00DB6EB9"/>
    <w:rsid w:val="00DB7F79"/>
    <w:rsid w:val="00DC07C5"/>
    <w:rsid w:val="00DC0A97"/>
    <w:rsid w:val="00DC0B31"/>
    <w:rsid w:val="00DC0C90"/>
    <w:rsid w:val="00DC15F1"/>
    <w:rsid w:val="00DC4D1A"/>
    <w:rsid w:val="00DD0A23"/>
    <w:rsid w:val="00DD1D21"/>
    <w:rsid w:val="00DD2964"/>
    <w:rsid w:val="00DD5C54"/>
    <w:rsid w:val="00DD5D1C"/>
    <w:rsid w:val="00DE052D"/>
    <w:rsid w:val="00DE088A"/>
    <w:rsid w:val="00DE57F7"/>
    <w:rsid w:val="00DF3947"/>
    <w:rsid w:val="00DF3996"/>
    <w:rsid w:val="00E0047B"/>
    <w:rsid w:val="00E02120"/>
    <w:rsid w:val="00E0361C"/>
    <w:rsid w:val="00E059F6"/>
    <w:rsid w:val="00E05F95"/>
    <w:rsid w:val="00E10EBB"/>
    <w:rsid w:val="00E15A76"/>
    <w:rsid w:val="00E162D2"/>
    <w:rsid w:val="00E164F8"/>
    <w:rsid w:val="00E17897"/>
    <w:rsid w:val="00E208A7"/>
    <w:rsid w:val="00E20E88"/>
    <w:rsid w:val="00E21B7F"/>
    <w:rsid w:val="00E235DF"/>
    <w:rsid w:val="00E31A54"/>
    <w:rsid w:val="00E32024"/>
    <w:rsid w:val="00E33FD2"/>
    <w:rsid w:val="00E34268"/>
    <w:rsid w:val="00E402A8"/>
    <w:rsid w:val="00E4041D"/>
    <w:rsid w:val="00E4476E"/>
    <w:rsid w:val="00E47C50"/>
    <w:rsid w:val="00E534F4"/>
    <w:rsid w:val="00E537F2"/>
    <w:rsid w:val="00E54F53"/>
    <w:rsid w:val="00E56017"/>
    <w:rsid w:val="00E5677A"/>
    <w:rsid w:val="00E6179F"/>
    <w:rsid w:val="00E61C21"/>
    <w:rsid w:val="00E65563"/>
    <w:rsid w:val="00E66E2A"/>
    <w:rsid w:val="00E71B2B"/>
    <w:rsid w:val="00E73C7D"/>
    <w:rsid w:val="00E74037"/>
    <w:rsid w:val="00E75D76"/>
    <w:rsid w:val="00E8136D"/>
    <w:rsid w:val="00E830CB"/>
    <w:rsid w:val="00E86243"/>
    <w:rsid w:val="00E876F9"/>
    <w:rsid w:val="00E9025F"/>
    <w:rsid w:val="00E93364"/>
    <w:rsid w:val="00E9679E"/>
    <w:rsid w:val="00E97827"/>
    <w:rsid w:val="00EA0715"/>
    <w:rsid w:val="00EA298D"/>
    <w:rsid w:val="00EA2D19"/>
    <w:rsid w:val="00EB0EED"/>
    <w:rsid w:val="00EB655B"/>
    <w:rsid w:val="00EB7478"/>
    <w:rsid w:val="00EB7654"/>
    <w:rsid w:val="00EC3040"/>
    <w:rsid w:val="00EC4906"/>
    <w:rsid w:val="00EC51EB"/>
    <w:rsid w:val="00EC603E"/>
    <w:rsid w:val="00EC63D4"/>
    <w:rsid w:val="00ED1D0D"/>
    <w:rsid w:val="00ED224F"/>
    <w:rsid w:val="00ED3045"/>
    <w:rsid w:val="00ED463F"/>
    <w:rsid w:val="00EE0232"/>
    <w:rsid w:val="00EE02D7"/>
    <w:rsid w:val="00EE041B"/>
    <w:rsid w:val="00EE10A1"/>
    <w:rsid w:val="00EE10CF"/>
    <w:rsid w:val="00EE141E"/>
    <w:rsid w:val="00EE1949"/>
    <w:rsid w:val="00EE1B65"/>
    <w:rsid w:val="00EE220D"/>
    <w:rsid w:val="00EE5CDE"/>
    <w:rsid w:val="00EF1F49"/>
    <w:rsid w:val="00EF52F1"/>
    <w:rsid w:val="00EF549C"/>
    <w:rsid w:val="00EF55BB"/>
    <w:rsid w:val="00EF6FFB"/>
    <w:rsid w:val="00EF7A6B"/>
    <w:rsid w:val="00F02622"/>
    <w:rsid w:val="00F0354E"/>
    <w:rsid w:val="00F03D10"/>
    <w:rsid w:val="00F04A69"/>
    <w:rsid w:val="00F05272"/>
    <w:rsid w:val="00F13FFC"/>
    <w:rsid w:val="00F140DE"/>
    <w:rsid w:val="00F1418B"/>
    <w:rsid w:val="00F15C41"/>
    <w:rsid w:val="00F16E50"/>
    <w:rsid w:val="00F17243"/>
    <w:rsid w:val="00F219D3"/>
    <w:rsid w:val="00F21E8E"/>
    <w:rsid w:val="00F23931"/>
    <w:rsid w:val="00F241B4"/>
    <w:rsid w:val="00F33006"/>
    <w:rsid w:val="00F351EE"/>
    <w:rsid w:val="00F356E6"/>
    <w:rsid w:val="00F35DC3"/>
    <w:rsid w:val="00F409AB"/>
    <w:rsid w:val="00F40C0E"/>
    <w:rsid w:val="00F41F8D"/>
    <w:rsid w:val="00F4275B"/>
    <w:rsid w:val="00F436A8"/>
    <w:rsid w:val="00F437CF"/>
    <w:rsid w:val="00F45AB1"/>
    <w:rsid w:val="00F468B3"/>
    <w:rsid w:val="00F5496C"/>
    <w:rsid w:val="00F54BCA"/>
    <w:rsid w:val="00F554AC"/>
    <w:rsid w:val="00F554C5"/>
    <w:rsid w:val="00F615AD"/>
    <w:rsid w:val="00F62116"/>
    <w:rsid w:val="00F63965"/>
    <w:rsid w:val="00F70200"/>
    <w:rsid w:val="00F7136E"/>
    <w:rsid w:val="00F7270B"/>
    <w:rsid w:val="00F72D1E"/>
    <w:rsid w:val="00F801DC"/>
    <w:rsid w:val="00F81D93"/>
    <w:rsid w:val="00F83192"/>
    <w:rsid w:val="00F831FF"/>
    <w:rsid w:val="00F843E9"/>
    <w:rsid w:val="00F84C30"/>
    <w:rsid w:val="00F86304"/>
    <w:rsid w:val="00F86A1D"/>
    <w:rsid w:val="00F879A9"/>
    <w:rsid w:val="00F90083"/>
    <w:rsid w:val="00F934F1"/>
    <w:rsid w:val="00F93956"/>
    <w:rsid w:val="00F941AB"/>
    <w:rsid w:val="00F94425"/>
    <w:rsid w:val="00F946C9"/>
    <w:rsid w:val="00F95481"/>
    <w:rsid w:val="00F95913"/>
    <w:rsid w:val="00F9664D"/>
    <w:rsid w:val="00FA186C"/>
    <w:rsid w:val="00FA65BA"/>
    <w:rsid w:val="00FA674A"/>
    <w:rsid w:val="00FB020D"/>
    <w:rsid w:val="00FB4E5A"/>
    <w:rsid w:val="00FB5BC6"/>
    <w:rsid w:val="00FB720C"/>
    <w:rsid w:val="00FC038D"/>
    <w:rsid w:val="00FC1A08"/>
    <w:rsid w:val="00FC3CCC"/>
    <w:rsid w:val="00FC7743"/>
    <w:rsid w:val="00FD0438"/>
    <w:rsid w:val="00FD1174"/>
    <w:rsid w:val="00FD4D46"/>
    <w:rsid w:val="00FD6E27"/>
    <w:rsid w:val="00FE1748"/>
    <w:rsid w:val="00FE3DEA"/>
    <w:rsid w:val="00FE412D"/>
    <w:rsid w:val="00FE5182"/>
    <w:rsid w:val="00FE600A"/>
    <w:rsid w:val="00FE61BA"/>
    <w:rsid w:val="00FF07B2"/>
    <w:rsid w:val="00FF1A5E"/>
    <w:rsid w:val="00FF7C0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15:chartTrackingRefBased/>
  <w15:docId w15:val="{1BDF135E-5BAF-7643-A25A-8C0186DD6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Cite"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eastAsia="en-US"/>
    </w:rPr>
  </w:style>
  <w:style w:type="paragraph" w:styleId="Judul1">
    <w:name w:val="heading 1"/>
    <w:basedOn w:val="Normal"/>
    <w:next w:val="Normal"/>
    <w:link w:val="Judul1KAR"/>
    <w:uiPriority w:val="9"/>
    <w:qFormat/>
    <w:pPr>
      <w:keepNext/>
      <w:jc w:val="both"/>
      <w:outlineLvl w:val="0"/>
    </w:pPr>
    <w:rPr>
      <w:sz w:val="36"/>
      <w:lang w:val="id-ID" w:eastAsia="id-ID"/>
    </w:rPr>
  </w:style>
  <w:style w:type="paragraph" w:styleId="Judul2">
    <w:name w:val="heading 2"/>
    <w:basedOn w:val="Normal"/>
    <w:next w:val="Normal"/>
    <w:link w:val="Judul2KAR"/>
    <w:uiPriority w:val="9"/>
    <w:qFormat/>
    <w:pPr>
      <w:keepNext/>
      <w:jc w:val="center"/>
      <w:outlineLvl w:val="1"/>
    </w:pPr>
    <w:rPr>
      <w:sz w:val="36"/>
      <w:lang w:val="id-ID" w:eastAsia="id-ID"/>
    </w:rPr>
  </w:style>
  <w:style w:type="paragraph" w:styleId="Judul3">
    <w:name w:val="heading 3"/>
    <w:basedOn w:val="Normal"/>
    <w:next w:val="Normal"/>
    <w:link w:val="Judul3KAR"/>
    <w:uiPriority w:val="9"/>
    <w:qFormat/>
    <w:pPr>
      <w:keepNext/>
      <w:spacing w:line="480" w:lineRule="auto"/>
      <w:jc w:val="both"/>
      <w:outlineLvl w:val="2"/>
    </w:pPr>
    <w:rPr>
      <w:b/>
      <w:sz w:val="36"/>
      <w:lang w:val="id-ID" w:eastAsia="id-ID"/>
    </w:rPr>
  </w:style>
  <w:style w:type="paragraph" w:styleId="Judul4">
    <w:name w:val="heading 4"/>
    <w:basedOn w:val="Normal"/>
    <w:next w:val="Normal"/>
    <w:link w:val="Judul4KAR"/>
    <w:uiPriority w:val="9"/>
    <w:qFormat/>
    <w:pPr>
      <w:keepNext/>
      <w:tabs>
        <w:tab w:val="left" w:pos="180"/>
        <w:tab w:val="left" w:pos="900"/>
      </w:tabs>
      <w:spacing w:line="480" w:lineRule="auto"/>
      <w:jc w:val="both"/>
      <w:outlineLvl w:val="3"/>
    </w:pPr>
    <w:rPr>
      <w:sz w:val="24"/>
      <w:lang w:val="id-ID" w:eastAsia="id-ID"/>
    </w:rPr>
  </w:style>
  <w:style w:type="paragraph" w:styleId="Judul5">
    <w:name w:val="heading 5"/>
    <w:basedOn w:val="Normal"/>
    <w:next w:val="Normal"/>
    <w:link w:val="Judul5KAR"/>
    <w:uiPriority w:val="9"/>
    <w:qFormat/>
    <w:pPr>
      <w:keepNext/>
      <w:numPr>
        <w:numId w:val="1"/>
      </w:numPr>
      <w:tabs>
        <w:tab w:val="left" w:pos="180"/>
        <w:tab w:val="left" w:pos="900"/>
        <w:tab w:val="num" w:pos="1350"/>
      </w:tabs>
      <w:spacing w:line="480" w:lineRule="auto"/>
      <w:jc w:val="both"/>
      <w:outlineLvl w:val="4"/>
    </w:pPr>
    <w:rPr>
      <w:sz w:val="24"/>
      <w:lang w:val="id-ID" w:eastAsia="id-ID"/>
    </w:rPr>
  </w:style>
  <w:style w:type="paragraph" w:styleId="Judul6">
    <w:name w:val="heading 6"/>
    <w:basedOn w:val="Normal"/>
    <w:next w:val="Normal"/>
    <w:link w:val="Judul6KAR"/>
    <w:uiPriority w:val="9"/>
    <w:qFormat/>
    <w:pPr>
      <w:keepNext/>
      <w:spacing w:line="480" w:lineRule="auto"/>
      <w:jc w:val="both"/>
      <w:outlineLvl w:val="5"/>
    </w:pPr>
    <w:rPr>
      <w:b/>
      <w:sz w:val="32"/>
      <w:lang w:val="id-ID" w:eastAsia="id-ID"/>
    </w:rPr>
  </w:style>
  <w:style w:type="paragraph" w:styleId="Judul7">
    <w:name w:val="heading 7"/>
    <w:basedOn w:val="Normal"/>
    <w:next w:val="Normal"/>
    <w:link w:val="Judul7KAR"/>
    <w:uiPriority w:val="9"/>
    <w:qFormat/>
    <w:pPr>
      <w:keepNext/>
      <w:spacing w:line="480" w:lineRule="auto"/>
      <w:jc w:val="both"/>
      <w:outlineLvl w:val="6"/>
    </w:pPr>
    <w:rPr>
      <w:b/>
      <w:sz w:val="28"/>
      <w:lang w:val="id-ID" w:eastAsia="id-ID"/>
    </w:rPr>
  </w:style>
  <w:style w:type="paragraph" w:styleId="Judul8">
    <w:name w:val="heading 8"/>
    <w:basedOn w:val="Normal"/>
    <w:next w:val="Normal"/>
    <w:link w:val="Judul8KAR"/>
    <w:uiPriority w:val="9"/>
    <w:qFormat/>
    <w:pPr>
      <w:keepNext/>
      <w:spacing w:line="480" w:lineRule="auto"/>
      <w:jc w:val="center"/>
      <w:outlineLvl w:val="7"/>
    </w:pPr>
    <w:rPr>
      <w:b/>
      <w:sz w:val="36"/>
      <w:lang w:val="id-ID" w:eastAsia="id-ID"/>
    </w:rPr>
  </w:style>
  <w:style w:type="paragraph" w:styleId="Judul9">
    <w:name w:val="heading 9"/>
    <w:basedOn w:val="Normal"/>
    <w:next w:val="Normal"/>
    <w:link w:val="Judul9KAR"/>
    <w:uiPriority w:val="9"/>
    <w:qFormat/>
    <w:pPr>
      <w:keepNext/>
      <w:spacing w:line="480" w:lineRule="auto"/>
      <w:jc w:val="center"/>
      <w:outlineLvl w:val="8"/>
    </w:pPr>
    <w:rPr>
      <w:b/>
      <w:sz w:val="28"/>
      <w:lang w:val="id-ID" w:eastAsia="id-ID"/>
    </w:rPr>
  </w:style>
  <w:style w:type="character" w:default="1" w:styleId="FontParagrafDefault">
    <w:name w:val="Default Paragraph Font"/>
    <w:uiPriority w:val="1"/>
    <w:semiHidden/>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locked/>
    <w:rsid w:val="00EF1F49"/>
    <w:rPr>
      <w:rFonts w:cs="Times New Roman"/>
      <w:sz w:val="36"/>
    </w:rPr>
  </w:style>
  <w:style w:type="character" w:customStyle="1" w:styleId="Judul2KAR">
    <w:name w:val="Judul 2 KAR"/>
    <w:basedOn w:val="FontParagrafDefault"/>
    <w:link w:val="Judul2"/>
    <w:uiPriority w:val="9"/>
    <w:locked/>
    <w:rsid w:val="00EF1F49"/>
    <w:rPr>
      <w:rFonts w:cs="Times New Roman"/>
      <w:sz w:val="36"/>
    </w:rPr>
  </w:style>
  <w:style w:type="character" w:customStyle="1" w:styleId="Judul3KAR">
    <w:name w:val="Judul 3 KAR"/>
    <w:basedOn w:val="FontParagrafDefault"/>
    <w:link w:val="Judul3"/>
    <w:uiPriority w:val="9"/>
    <w:locked/>
    <w:rsid w:val="00EF1F49"/>
    <w:rPr>
      <w:rFonts w:cs="Times New Roman"/>
      <w:b/>
      <w:sz w:val="36"/>
    </w:rPr>
  </w:style>
  <w:style w:type="character" w:customStyle="1" w:styleId="Judul4KAR">
    <w:name w:val="Judul 4 KAR"/>
    <w:basedOn w:val="FontParagrafDefault"/>
    <w:link w:val="Judul4"/>
    <w:uiPriority w:val="9"/>
    <w:locked/>
    <w:rsid w:val="00EF1F49"/>
    <w:rPr>
      <w:rFonts w:cs="Times New Roman"/>
      <w:sz w:val="24"/>
    </w:rPr>
  </w:style>
  <w:style w:type="character" w:customStyle="1" w:styleId="Judul5KAR">
    <w:name w:val="Judul 5 KAR"/>
    <w:basedOn w:val="FontParagrafDefault"/>
    <w:link w:val="Judul5"/>
    <w:uiPriority w:val="9"/>
    <w:locked/>
    <w:rsid w:val="00EF1F49"/>
    <w:rPr>
      <w:rFonts w:cs="Times New Roman"/>
      <w:sz w:val="24"/>
    </w:rPr>
  </w:style>
  <w:style w:type="character" w:customStyle="1" w:styleId="Judul6KAR">
    <w:name w:val="Judul 6 KAR"/>
    <w:basedOn w:val="FontParagrafDefault"/>
    <w:link w:val="Judul6"/>
    <w:uiPriority w:val="9"/>
    <w:locked/>
    <w:rsid w:val="00F436A8"/>
    <w:rPr>
      <w:rFonts w:cs="Times New Roman"/>
      <w:b/>
      <w:sz w:val="32"/>
    </w:rPr>
  </w:style>
  <w:style w:type="character" w:customStyle="1" w:styleId="Judul7KAR">
    <w:name w:val="Judul 7 KAR"/>
    <w:basedOn w:val="FontParagrafDefault"/>
    <w:link w:val="Judul7"/>
    <w:uiPriority w:val="9"/>
    <w:locked/>
    <w:rsid w:val="00EF1F49"/>
    <w:rPr>
      <w:rFonts w:cs="Times New Roman"/>
      <w:b/>
      <w:sz w:val="28"/>
    </w:rPr>
  </w:style>
  <w:style w:type="character" w:customStyle="1" w:styleId="Judul8KAR">
    <w:name w:val="Judul 8 KAR"/>
    <w:basedOn w:val="FontParagrafDefault"/>
    <w:link w:val="Judul8"/>
    <w:uiPriority w:val="9"/>
    <w:locked/>
    <w:rsid w:val="00EF1F49"/>
    <w:rPr>
      <w:rFonts w:cs="Times New Roman"/>
      <w:b/>
      <w:sz w:val="36"/>
    </w:rPr>
  </w:style>
  <w:style w:type="character" w:customStyle="1" w:styleId="Judul9KAR">
    <w:name w:val="Judul 9 KAR"/>
    <w:basedOn w:val="FontParagrafDefault"/>
    <w:link w:val="Judul9"/>
    <w:uiPriority w:val="9"/>
    <w:locked/>
    <w:rsid w:val="00EF1F49"/>
    <w:rPr>
      <w:rFonts w:cs="Times New Roman"/>
      <w:b/>
      <w:sz w:val="28"/>
    </w:rPr>
  </w:style>
  <w:style w:type="paragraph" w:styleId="IndenTeksIsi">
    <w:name w:val="Body Text Indent"/>
    <w:basedOn w:val="Normal"/>
    <w:link w:val="IndenTeksIsiKAR"/>
    <w:uiPriority w:val="99"/>
    <w:pPr>
      <w:ind w:left="360" w:hanging="360"/>
      <w:jc w:val="both"/>
    </w:pPr>
    <w:rPr>
      <w:sz w:val="36"/>
      <w:lang w:val="id-ID" w:eastAsia="id-ID"/>
    </w:rPr>
  </w:style>
  <w:style w:type="character" w:customStyle="1" w:styleId="IndenTeksIsiKAR">
    <w:name w:val="Inden Teks Isi KAR"/>
    <w:basedOn w:val="FontParagrafDefault"/>
    <w:link w:val="IndenTeksIsi"/>
    <w:uiPriority w:val="99"/>
    <w:locked/>
    <w:rsid w:val="00F436A8"/>
    <w:rPr>
      <w:rFonts w:cs="Times New Roman"/>
      <w:sz w:val="36"/>
    </w:rPr>
  </w:style>
  <w:style w:type="paragraph" w:styleId="IndenTeksIsi2">
    <w:name w:val="Body Text Indent 2"/>
    <w:basedOn w:val="Normal"/>
    <w:link w:val="IndenTeksIsi2KAR"/>
    <w:uiPriority w:val="99"/>
    <w:pPr>
      <w:ind w:left="450" w:hanging="450"/>
      <w:jc w:val="both"/>
    </w:pPr>
    <w:rPr>
      <w:sz w:val="36"/>
      <w:lang w:val="id-ID" w:eastAsia="id-ID"/>
    </w:rPr>
  </w:style>
  <w:style w:type="character" w:customStyle="1" w:styleId="IndenTeksIsi2KAR">
    <w:name w:val="Inden Teks Isi 2 KAR"/>
    <w:basedOn w:val="FontParagrafDefault"/>
    <w:link w:val="IndenTeksIsi2"/>
    <w:uiPriority w:val="99"/>
    <w:locked/>
    <w:rsid w:val="00EF1F49"/>
    <w:rPr>
      <w:rFonts w:cs="Times New Roman"/>
      <w:sz w:val="36"/>
    </w:rPr>
  </w:style>
  <w:style w:type="paragraph" w:styleId="TeksIsi">
    <w:name w:val="Body Text"/>
    <w:basedOn w:val="Normal"/>
    <w:link w:val="TeksIsiKAR"/>
    <w:uiPriority w:val="99"/>
    <w:pPr>
      <w:jc w:val="both"/>
    </w:pPr>
    <w:rPr>
      <w:sz w:val="36"/>
      <w:lang w:val="id-ID" w:eastAsia="id-ID"/>
    </w:rPr>
  </w:style>
  <w:style w:type="character" w:customStyle="1" w:styleId="TeksIsiKAR">
    <w:name w:val="Teks Isi KAR"/>
    <w:basedOn w:val="FontParagrafDefault"/>
    <w:link w:val="TeksIsi"/>
    <w:uiPriority w:val="99"/>
    <w:locked/>
    <w:rsid w:val="00EF1F49"/>
    <w:rPr>
      <w:rFonts w:cs="Times New Roman"/>
      <w:sz w:val="36"/>
    </w:rPr>
  </w:style>
  <w:style w:type="paragraph" w:styleId="IndenTeksIsi3">
    <w:name w:val="Body Text Indent 3"/>
    <w:basedOn w:val="Normal"/>
    <w:link w:val="IndenTeksIsi3KAR"/>
    <w:uiPriority w:val="99"/>
    <w:pPr>
      <w:spacing w:line="480" w:lineRule="auto"/>
      <w:ind w:firstLine="720"/>
      <w:jc w:val="both"/>
    </w:pPr>
    <w:rPr>
      <w:sz w:val="36"/>
      <w:lang w:val="id-ID" w:eastAsia="id-ID"/>
    </w:rPr>
  </w:style>
  <w:style w:type="character" w:customStyle="1" w:styleId="IndenTeksIsi3KAR">
    <w:name w:val="Inden Teks Isi 3 KAR"/>
    <w:basedOn w:val="FontParagrafDefault"/>
    <w:link w:val="IndenTeksIsi3"/>
    <w:uiPriority w:val="99"/>
    <w:locked/>
    <w:rsid w:val="00EF1F49"/>
    <w:rPr>
      <w:rFonts w:cs="Times New Roman"/>
      <w:sz w:val="36"/>
    </w:rPr>
  </w:style>
  <w:style w:type="paragraph" w:styleId="TeksIsi2">
    <w:name w:val="Body Text 2"/>
    <w:basedOn w:val="Normal"/>
    <w:link w:val="TeksIsi2KAR"/>
    <w:uiPriority w:val="99"/>
    <w:pPr>
      <w:spacing w:line="480" w:lineRule="auto"/>
      <w:jc w:val="both"/>
    </w:pPr>
    <w:rPr>
      <w:b/>
      <w:sz w:val="36"/>
      <w:lang w:val="id-ID" w:eastAsia="id-ID"/>
    </w:rPr>
  </w:style>
  <w:style w:type="character" w:customStyle="1" w:styleId="TeksIsi2KAR">
    <w:name w:val="Teks Isi 2 KAR"/>
    <w:basedOn w:val="FontParagrafDefault"/>
    <w:link w:val="TeksIsi2"/>
    <w:uiPriority w:val="99"/>
    <w:locked/>
    <w:rsid w:val="00EF1F49"/>
    <w:rPr>
      <w:rFonts w:cs="Times New Roman"/>
      <w:b/>
      <w:sz w:val="36"/>
    </w:rPr>
  </w:style>
  <w:style w:type="paragraph" w:styleId="TeksIsi3">
    <w:name w:val="Body Text 3"/>
    <w:basedOn w:val="Normal"/>
    <w:link w:val="TeksIsi3KAR"/>
    <w:uiPriority w:val="99"/>
    <w:pPr>
      <w:tabs>
        <w:tab w:val="left" w:pos="180"/>
        <w:tab w:val="left" w:pos="900"/>
        <w:tab w:val="left" w:pos="1440"/>
      </w:tabs>
      <w:spacing w:line="480" w:lineRule="auto"/>
      <w:jc w:val="both"/>
    </w:pPr>
    <w:rPr>
      <w:sz w:val="24"/>
      <w:lang w:val="id-ID" w:eastAsia="id-ID"/>
    </w:rPr>
  </w:style>
  <w:style w:type="character" w:customStyle="1" w:styleId="TeksIsi3KAR">
    <w:name w:val="Teks Isi 3 KAR"/>
    <w:basedOn w:val="FontParagrafDefault"/>
    <w:link w:val="TeksIsi3"/>
    <w:uiPriority w:val="99"/>
    <w:locked/>
    <w:rsid w:val="00EF1F49"/>
    <w:rPr>
      <w:rFonts w:cs="Times New Roman"/>
      <w:sz w:val="24"/>
    </w:rPr>
  </w:style>
  <w:style w:type="paragraph" w:styleId="TeksCatatanKaki">
    <w:name w:val="footnote text"/>
    <w:basedOn w:val="Normal"/>
    <w:link w:val="TeksCatatanKakiKAR"/>
    <w:uiPriority w:val="99"/>
  </w:style>
  <w:style w:type="character" w:customStyle="1" w:styleId="TeksCatatanKakiKAR">
    <w:name w:val="Teks Catatan Kaki KAR"/>
    <w:basedOn w:val="FontParagrafDefault"/>
    <w:link w:val="TeksCatatanKaki"/>
    <w:uiPriority w:val="99"/>
    <w:locked/>
    <w:rsid w:val="005A6C05"/>
    <w:rPr>
      <w:rFonts w:cs="Times New Roman"/>
    </w:rPr>
  </w:style>
  <w:style w:type="character" w:styleId="ReferensiCatatanKaki">
    <w:name w:val="footnote reference"/>
    <w:basedOn w:val="FontParagrafDefault"/>
    <w:uiPriority w:val="99"/>
    <w:semiHidden/>
    <w:rPr>
      <w:rFonts w:cs="Times New Roman"/>
      <w:vertAlign w:val="superscript"/>
    </w:rPr>
  </w:style>
  <w:style w:type="paragraph" w:styleId="PetaDokumen">
    <w:name w:val="Document Map"/>
    <w:basedOn w:val="Normal"/>
    <w:link w:val="PetaDokumenKAR"/>
    <w:uiPriority w:val="99"/>
    <w:semiHidden/>
    <w:pPr>
      <w:shd w:val="clear" w:color="auto" w:fill="000080"/>
    </w:pPr>
    <w:rPr>
      <w:rFonts w:ascii="Tahoma" w:hAnsi="Tahoma"/>
      <w:lang w:val="id-ID" w:eastAsia="id-ID"/>
    </w:rPr>
  </w:style>
  <w:style w:type="character" w:customStyle="1" w:styleId="PetaDokumenKAR">
    <w:name w:val="Peta Dokumen KAR"/>
    <w:basedOn w:val="FontParagrafDefault"/>
    <w:link w:val="PetaDokumen"/>
    <w:uiPriority w:val="99"/>
    <w:semiHidden/>
    <w:locked/>
    <w:rsid w:val="00EF1F49"/>
    <w:rPr>
      <w:rFonts w:ascii="Tahoma" w:hAnsi="Tahoma" w:cs="Times New Roman"/>
      <w:shd w:val="clear" w:color="auto" w:fill="000080"/>
    </w:rPr>
  </w:style>
  <w:style w:type="paragraph" w:styleId="Header">
    <w:name w:val="header"/>
    <w:basedOn w:val="Normal"/>
    <w:link w:val="HeaderKAR"/>
    <w:uiPriority w:val="99"/>
    <w:pPr>
      <w:tabs>
        <w:tab w:val="center" w:pos="4320"/>
        <w:tab w:val="right" w:pos="8640"/>
      </w:tabs>
    </w:pPr>
  </w:style>
  <w:style w:type="character" w:customStyle="1" w:styleId="HeaderKAR">
    <w:name w:val="Header KAR"/>
    <w:basedOn w:val="FontParagrafDefault"/>
    <w:link w:val="Header"/>
    <w:uiPriority w:val="99"/>
    <w:locked/>
    <w:rsid w:val="00EF1F49"/>
    <w:rPr>
      <w:rFonts w:cs="Times New Roman"/>
    </w:rPr>
  </w:style>
  <w:style w:type="character" w:styleId="NomorHalaman">
    <w:name w:val="page number"/>
    <w:basedOn w:val="FontParagrafDefault"/>
    <w:uiPriority w:val="99"/>
    <w:rPr>
      <w:rFonts w:cs="Times New Roman"/>
    </w:rPr>
  </w:style>
  <w:style w:type="paragraph" w:styleId="TeksCatatanAkhir">
    <w:name w:val="endnote text"/>
    <w:basedOn w:val="Normal"/>
    <w:link w:val="TeksCatatanAkhirKAR"/>
    <w:uiPriority w:val="99"/>
    <w:semiHidden/>
  </w:style>
  <w:style w:type="character" w:customStyle="1" w:styleId="TeksCatatanAkhirKAR">
    <w:name w:val="Teks Catatan Akhir KAR"/>
    <w:basedOn w:val="FontParagrafDefault"/>
    <w:link w:val="TeksCatatanAkhir"/>
    <w:uiPriority w:val="99"/>
    <w:semiHidden/>
    <w:locked/>
    <w:rsid w:val="00EF1F49"/>
    <w:rPr>
      <w:rFonts w:cs="Times New Roman"/>
    </w:rPr>
  </w:style>
  <w:style w:type="character" w:styleId="ReferensiCatatanAkhir">
    <w:name w:val="endnote reference"/>
    <w:basedOn w:val="FontParagrafDefault"/>
    <w:uiPriority w:val="99"/>
    <w:semiHidden/>
    <w:rPr>
      <w:rFonts w:cs="Times New Roman"/>
      <w:vertAlign w:val="superscript"/>
    </w:rPr>
  </w:style>
  <w:style w:type="paragraph" w:styleId="Footer">
    <w:name w:val="footer"/>
    <w:basedOn w:val="Normal"/>
    <w:link w:val="FooterKAR"/>
    <w:uiPriority w:val="99"/>
    <w:pPr>
      <w:tabs>
        <w:tab w:val="center" w:pos="4320"/>
        <w:tab w:val="right" w:pos="8640"/>
      </w:tabs>
    </w:pPr>
  </w:style>
  <w:style w:type="character" w:customStyle="1" w:styleId="FooterKAR">
    <w:name w:val="Footer KAR"/>
    <w:basedOn w:val="FontParagrafDefault"/>
    <w:link w:val="Footer"/>
    <w:uiPriority w:val="99"/>
    <w:locked/>
    <w:rsid w:val="00EF1F49"/>
    <w:rPr>
      <w:rFonts w:cs="Times New Roman"/>
    </w:rPr>
  </w:style>
  <w:style w:type="character" w:styleId="NomorBaris">
    <w:name w:val="line number"/>
    <w:basedOn w:val="FontParagrafDefault"/>
    <w:uiPriority w:val="99"/>
    <w:rPr>
      <w:rFonts w:cs="Times New Roman"/>
    </w:rPr>
  </w:style>
  <w:style w:type="paragraph" w:customStyle="1" w:styleId="Default">
    <w:name w:val="Default"/>
    <w:rsid w:val="00CB3C5A"/>
    <w:pPr>
      <w:autoSpaceDE w:val="0"/>
      <w:autoSpaceDN w:val="0"/>
      <w:adjustRightInd w:val="0"/>
    </w:pPr>
    <w:rPr>
      <w:color w:val="000000"/>
      <w:sz w:val="24"/>
      <w:szCs w:val="24"/>
      <w:lang w:val="en-US" w:eastAsia="en-US"/>
    </w:rPr>
  </w:style>
  <w:style w:type="paragraph" w:styleId="Judul">
    <w:name w:val="Title"/>
    <w:basedOn w:val="Normal"/>
    <w:link w:val="JudulKAR"/>
    <w:uiPriority w:val="10"/>
    <w:qFormat/>
    <w:rsid w:val="00EF1F49"/>
    <w:pPr>
      <w:jc w:val="center"/>
    </w:pPr>
    <w:rPr>
      <w:rFonts w:ascii="Book Antiqua" w:hAnsi="Book Antiqua"/>
      <w:b/>
      <w:bCs/>
      <w:sz w:val="24"/>
      <w:szCs w:val="24"/>
      <w:lang w:val="id-ID" w:eastAsia="id-ID"/>
    </w:rPr>
  </w:style>
  <w:style w:type="character" w:customStyle="1" w:styleId="JudulKAR">
    <w:name w:val="Judul KAR"/>
    <w:basedOn w:val="FontParagrafDefault"/>
    <w:link w:val="Judul"/>
    <w:uiPriority w:val="10"/>
    <w:locked/>
    <w:rsid w:val="00EF1F49"/>
    <w:rPr>
      <w:rFonts w:ascii="Book Antiqua" w:hAnsi="Book Antiqua" w:cs="Times New Roman"/>
      <w:b/>
      <w:sz w:val="24"/>
    </w:rPr>
  </w:style>
  <w:style w:type="character" w:styleId="Hyperlink">
    <w:name w:val="Hyperlink"/>
    <w:basedOn w:val="FontParagrafDefault"/>
    <w:uiPriority w:val="99"/>
    <w:unhideWhenUsed/>
    <w:rsid w:val="00EF1F49"/>
    <w:rPr>
      <w:rFonts w:cs="Times New Roman"/>
      <w:color w:val="0000FF"/>
      <w:u w:val="single"/>
    </w:rPr>
  </w:style>
  <w:style w:type="paragraph" w:styleId="DaftarParagraf">
    <w:name w:val="List Paragraph"/>
    <w:basedOn w:val="Normal"/>
    <w:uiPriority w:val="34"/>
    <w:qFormat/>
    <w:rsid w:val="00EF1F49"/>
    <w:pPr>
      <w:spacing w:after="200" w:line="276" w:lineRule="auto"/>
      <w:ind w:left="720"/>
      <w:contextualSpacing/>
    </w:pPr>
    <w:rPr>
      <w:rFonts w:ascii="Calibri" w:hAnsi="Calibri" w:cs="Arial"/>
      <w:sz w:val="22"/>
      <w:szCs w:val="22"/>
    </w:rPr>
  </w:style>
  <w:style w:type="character" w:styleId="SebutanHTML">
    <w:name w:val="HTML Cite"/>
    <w:basedOn w:val="FontParagrafDefault"/>
    <w:uiPriority w:val="99"/>
    <w:rsid w:val="00EF1F49"/>
    <w:rPr>
      <w:rFonts w:cs="Times New Roman"/>
      <w:i/>
    </w:rPr>
  </w:style>
  <w:style w:type="paragraph" w:styleId="TeksBalon">
    <w:name w:val="Balloon Text"/>
    <w:basedOn w:val="Normal"/>
    <w:link w:val="TeksBalonKAR"/>
    <w:uiPriority w:val="99"/>
    <w:unhideWhenUsed/>
    <w:rsid w:val="00EF1F49"/>
    <w:rPr>
      <w:rFonts w:ascii="Tahoma" w:hAnsi="Tahoma"/>
      <w:sz w:val="16"/>
      <w:szCs w:val="16"/>
      <w:lang w:val="id-ID" w:eastAsia="id-ID"/>
    </w:rPr>
  </w:style>
  <w:style w:type="character" w:customStyle="1" w:styleId="TeksBalonKAR">
    <w:name w:val="Teks Balon KAR"/>
    <w:basedOn w:val="FontParagrafDefault"/>
    <w:link w:val="TeksBalon"/>
    <w:uiPriority w:val="99"/>
    <w:locked/>
    <w:rsid w:val="00EF1F49"/>
    <w:rPr>
      <w:rFonts w:ascii="Tahoma" w:hAnsi="Tahoma" w:cs="Times New Roman"/>
      <w:sz w:val="16"/>
    </w:rPr>
  </w:style>
  <w:style w:type="paragraph" w:styleId="NormalWeb">
    <w:name w:val="Normal (Web)"/>
    <w:basedOn w:val="Normal"/>
    <w:uiPriority w:val="99"/>
    <w:unhideWhenUsed/>
    <w:rsid w:val="00DD1D21"/>
    <w:pPr>
      <w:spacing w:before="100" w:beforeAutospacing="1" w:after="100" w:afterAutospacing="1"/>
    </w:pPr>
    <w:rPr>
      <w:sz w:val="24"/>
      <w:szCs w:val="24"/>
    </w:rPr>
  </w:style>
  <w:style w:type="character" w:styleId="Penekanan">
    <w:name w:val="Emphasis"/>
    <w:basedOn w:val="FontParagrafDefault"/>
    <w:uiPriority w:val="20"/>
    <w:qFormat/>
    <w:rsid w:val="00DD1D21"/>
    <w:rPr>
      <w:rFonts w:cs="Times New Roman"/>
      <w:i/>
    </w:rPr>
  </w:style>
  <w:style w:type="character" w:styleId="Kuat">
    <w:name w:val="Strong"/>
    <w:basedOn w:val="FontParagrafDefault"/>
    <w:uiPriority w:val="22"/>
    <w:qFormat/>
    <w:rsid w:val="00DD1D21"/>
    <w:rPr>
      <w:rFonts w:cs="Times New Roman"/>
      <w:b/>
    </w:rPr>
  </w:style>
  <w:style w:type="character" w:customStyle="1" w:styleId="longtext">
    <w:name w:val="long_text"/>
    <w:rsid w:val="007127E7"/>
  </w:style>
  <w:style w:type="paragraph" w:styleId="Kutipan">
    <w:name w:val="Quote"/>
    <w:basedOn w:val="Normal"/>
    <w:next w:val="Normal"/>
    <w:link w:val="KutipanKAR"/>
    <w:uiPriority w:val="29"/>
    <w:qFormat/>
    <w:rsid w:val="007127E7"/>
    <w:pPr>
      <w:bidi/>
    </w:pPr>
    <w:rPr>
      <w:i/>
      <w:iCs/>
      <w:color w:val="000000"/>
      <w:sz w:val="24"/>
      <w:szCs w:val="24"/>
      <w:lang w:val="id-ID" w:eastAsia="id-ID"/>
    </w:rPr>
  </w:style>
  <w:style w:type="character" w:customStyle="1" w:styleId="KutipanKAR">
    <w:name w:val="Kutipan KAR"/>
    <w:basedOn w:val="FontParagrafDefault"/>
    <w:link w:val="Kutipan"/>
    <w:uiPriority w:val="29"/>
    <w:locked/>
    <w:rsid w:val="007127E7"/>
    <w:rPr>
      <w:rFonts w:cs="Times New Roman"/>
      <w:i/>
      <w:color w:val="000000"/>
      <w:sz w:val="24"/>
    </w:rPr>
  </w:style>
  <w:style w:type="character" w:customStyle="1" w:styleId="hps">
    <w:name w:val="hps"/>
    <w:basedOn w:val="FontParagrafDefault"/>
    <w:rsid w:val="003E3FC0"/>
    <w:rPr>
      <w:rFonts w:cs="Times New Roman"/>
    </w:rPr>
  </w:style>
  <w:style w:type="character" w:customStyle="1" w:styleId="shorttext">
    <w:name w:val="short_text"/>
    <w:rsid w:val="00943C73"/>
  </w:style>
  <w:style w:type="character" w:customStyle="1" w:styleId="atn">
    <w:name w:val="atn"/>
    <w:rsid w:val="00943C73"/>
  </w:style>
  <w:style w:type="table" w:styleId="KisiTabel">
    <w:name w:val="Table Grid"/>
    <w:basedOn w:val="TabelNormal"/>
    <w:uiPriority w:val="59"/>
    <w:rsid w:val="0086237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5533218">
      <w:marLeft w:val="0"/>
      <w:marRight w:val="0"/>
      <w:marTop w:val="0"/>
      <w:marBottom w:val="0"/>
      <w:divBdr>
        <w:top w:val="none" w:sz="0" w:space="0" w:color="auto"/>
        <w:left w:val="none" w:sz="0" w:space="0" w:color="auto"/>
        <w:bottom w:val="none" w:sz="0" w:space="0" w:color="auto"/>
        <w:right w:val="none" w:sz="0" w:space="0" w:color="auto"/>
      </w:divBdr>
    </w:div>
    <w:div w:id="1225533219">
      <w:marLeft w:val="0"/>
      <w:marRight w:val="0"/>
      <w:marTop w:val="0"/>
      <w:marBottom w:val="0"/>
      <w:divBdr>
        <w:top w:val="none" w:sz="0" w:space="0" w:color="auto"/>
        <w:left w:val="none" w:sz="0" w:space="0" w:color="auto"/>
        <w:bottom w:val="none" w:sz="0" w:space="0" w:color="auto"/>
        <w:right w:val="none" w:sz="0" w:space="0" w:color="auto"/>
      </w:divBdr>
      <w:divsChild>
        <w:div w:id="1225533253">
          <w:marLeft w:val="0"/>
          <w:marRight w:val="0"/>
          <w:marTop w:val="0"/>
          <w:marBottom w:val="0"/>
          <w:divBdr>
            <w:top w:val="none" w:sz="0" w:space="0" w:color="auto"/>
            <w:left w:val="none" w:sz="0" w:space="0" w:color="auto"/>
            <w:bottom w:val="none" w:sz="0" w:space="0" w:color="auto"/>
            <w:right w:val="none" w:sz="0" w:space="0" w:color="auto"/>
          </w:divBdr>
          <w:divsChild>
            <w:div w:id="12255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3220">
      <w:marLeft w:val="0"/>
      <w:marRight w:val="0"/>
      <w:marTop w:val="0"/>
      <w:marBottom w:val="0"/>
      <w:divBdr>
        <w:top w:val="none" w:sz="0" w:space="0" w:color="auto"/>
        <w:left w:val="none" w:sz="0" w:space="0" w:color="auto"/>
        <w:bottom w:val="none" w:sz="0" w:space="0" w:color="auto"/>
        <w:right w:val="none" w:sz="0" w:space="0" w:color="auto"/>
      </w:divBdr>
      <w:divsChild>
        <w:div w:id="1225533234">
          <w:marLeft w:val="0"/>
          <w:marRight w:val="0"/>
          <w:marTop w:val="0"/>
          <w:marBottom w:val="0"/>
          <w:divBdr>
            <w:top w:val="none" w:sz="0" w:space="0" w:color="auto"/>
            <w:left w:val="none" w:sz="0" w:space="0" w:color="auto"/>
            <w:bottom w:val="none" w:sz="0" w:space="0" w:color="auto"/>
            <w:right w:val="none" w:sz="0" w:space="0" w:color="auto"/>
          </w:divBdr>
          <w:divsChild>
            <w:div w:id="122553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3221">
      <w:marLeft w:val="0"/>
      <w:marRight w:val="0"/>
      <w:marTop w:val="0"/>
      <w:marBottom w:val="0"/>
      <w:divBdr>
        <w:top w:val="none" w:sz="0" w:space="0" w:color="auto"/>
        <w:left w:val="none" w:sz="0" w:space="0" w:color="auto"/>
        <w:bottom w:val="none" w:sz="0" w:space="0" w:color="auto"/>
        <w:right w:val="none" w:sz="0" w:space="0" w:color="auto"/>
      </w:divBdr>
      <w:divsChild>
        <w:div w:id="1225533228">
          <w:marLeft w:val="0"/>
          <w:marRight w:val="0"/>
          <w:marTop w:val="0"/>
          <w:marBottom w:val="0"/>
          <w:divBdr>
            <w:top w:val="none" w:sz="0" w:space="0" w:color="auto"/>
            <w:left w:val="none" w:sz="0" w:space="0" w:color="auto"/>
            <w:bottom w:val="none" w:sz="0" w:space="0" w:color="auto"/>
            <w:right w:val="none" w:sz="0" w:space="0" w:color="auto"/>
          </w:divBdr>
          <w:divsChild>
            <w:div w:id="12255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3227">
      <w:marLeft w:val="0"/>
      <w:marRight w:val="0"/>
      <w:marTop w:val="0"/>
      <w:marBottom w:val="0"/>
      <w:divBdr>
        <w:top w:val="none" w:sz="0" w:space="0" w:color="auto"/>
        <w:left w:val="none" w:sz="0" w:space="0" w:color="auto"/>
        <w:bottom w:val="none" w:sz="0" w:space="0" w:color="auto"/>
        <w:right w:val="none" w:sz="0" w:space="0" w:color="auto"/>
      </w:divBdr>
      <w:divsChild>
        <w:div w:id="1225533250">
          <w:marLeft w:val="0"/>
          <w:marRight w:val="0"/>
          <w:marTop w:val="0"/>
          <w:marBottom w:val="0"/>
          <w:divBdr>
            <w:top w:val="none" w:sz="0" w:space="0" w:color="auto"/>
            <w:left w:val="none" w:sz="0" w:space="0" w:color="auto"/>
            <w:bottom w:val="none" w:sz="0" w:space="0" w:color="auto"/>
            <w:right w:val="none" w:sz="0" w:space="0" w:color="auto"/>
          </w:divBdr>
          <w:divsChild>
            <w:div w:id="1225533233">
              <w:marLeft w:val="0"/>
              <w:marRight w:val="0"/>
              <w:marTop w:val="0"/>
              <w:marBottom w:val="0"/>
              <w:divBdr>
                <w:top w:val="none" w:sz="0" w:space="0" w:color="auto"/>
                <w:left w:val="none" w:sz="0" w:space="0" w:color="auto"/>
                <w:bottom w:val="none" w:sz="0" w:space="0" w:color="auto"/>
                <w:right w:val="none" w:sz="0" w:space="0" w:color="auto"/>
              </w:divBdr>
            </w:div>
          </w:divsChild>
        </w:div>
        <w:div w:id="1225533251">
          <w:marLeft w:val="0"/>
          <w:marRight w:val="0"/>
          <w:marTop w:val="0"/>
          <w:marBottom w:val="0"/>
          <w:divBdr>
            <w:top w:val="none" w:sz="0" w:space="0" w:color="auto"/>
            <w:left w:val="none" w:sz="0" w:space="0" w:color="auto"/>
            <w:bottom w:val="none" w:sz="0" w:space="0" w:color="auto"/>
            <w:right w:val="none" w:sz="0" w:space="0" w:color="auto"/>
          </w:divBdr>
          <w:divsChild>
            <w:div w:id="1225533235">
              <w:marLeft w:val="0"/>
              <w:marRight w:val="0"/>
              <w:marTop w:val="0"/>
              <w:marBottom w:val="0"/>
              <w:divBdr>
                <w:top w:val="none" w:sz="0" w:space="0" w:color="auto"/>
                <w:left w:val="none" w:sz="0" w:space="0" w:color="auto"/>
                <w:bottom w:val="none" w:sz="0" w:space="0" w:color="auto"/>
                <w:right w:val="none" w:sz="0" w:space="0" w:color="auto"/>
              </w:divBdr>
            </w:div>
            <w:div w:id="1225533254">
              <w:marLeft w:val="0"/>
              <w:marRight w:val="0"/>
              <w:marTop w:val="0"/>
              <w:marBottom w:val="0"/>
              <w:divBdr>
                <w:top w:val="none" w:sz="0" w:space="0" w:color="auto"/>
                <w:left w:val="none" w:sz="0" w:space="0" w:color="auto"/>
                <w:bottom w:val="none" w:sz="0" w:space="0" w:color="auto"/>
                <w:right w:val="none" w:sz="0" w:space="0" w:color="auto"/>
              </w:divBdr>
              <w:divsChild>
                <w:div w:id="1225533224">
                  <w:marLeft w:val="0"/>
                  <w:marRight w:val="0"/>
                  <w:marTop w:val="0"/>
                  <w:marBottom w:val="0"/>
                  <w:divBdr>
                    <w:top w:val="none" w:sz="0" w:space="0" w:color="auto"/>
                    <w:left w:val="none" w:sz="0" w:space="0" w:color="auto"/>
                    <w:bottom w:val="none" w:sz="0" w:space="0" w:color="auto"/>
                    <w:right w:val="none" w:sz="0" w:space="0" w:color="auto"/>
                  </w:divBdr>
                  <w:divsChild>
                    <w:div w:id="1225533248">
                      <w:marLeft w:val="0"/>
                      <w:marRight w:val="0"/>
                      <w:marTop w:val="0"/>
                      <w:marBottom w:val="0"/>
                      <w:divBdr>
                        <w:top w:val="none" w:sz="0" w:space="0" w:color="auto"/>
                        <w:left w:val="none" w:sz="0" w:space="0" w:color="auto"/>
                        <w:bottom w:val="none" w:sz="0" w:space="0" w:color="auto"/>
                        <w:right w:val="none" w:sz="0" w:space="0" w:color="auto"/>
                      </w:divBdr>
                      <w:divsChild>
                        <w:div w:id="1225533256">
                          <w:marLeft w:val="0"/>
                          <w:marRight w:val="0"/>
                          <w:marTop w:val="0"/>
                          <w:marBottom w:val="0"/>
                          <w:divBdr>
                            <w:top w:val="none" w:sz="0" w:space="0" w:color="auto"/>
                            <w:left w:val="none" w:sz="0" w:space="0" w:color="auto"/>
                            <w:bottom w:val="none" w:sz="0" w:space="0" w:color="auto"/>
                            <w:right w:val="none" w:sz="0" w:space="0" w:color="auto"/>
                          </w:divBdr>
                          <w:divsChild>
                            <w:div w:id="1225533236">
                              <w:marLeft w:val="0"/>
                              <w:marRight w:val="0"/>
                              <w:marTop w:val="0"/>
                              <w:marBottom w:val="0"/>
                              <w:divBdr>
                                <w:top w:val="none" w:sz="0" w:space="0" w:color="auto"/>
                                <w:left w:val="none" w:sz="0" w:space="0" w:color="auto"/>
                                <w:bottom w:val="none" w:sz="0" w:space="0" w:color="auto"/>
                                <w:right w:val="none" w:sz="0" w:space="0" w:color="auto"/>
                              </w:divBdr>
                              <w:divsChild>
                                <w:div w:id="1225533247">
                                  <w:marLeft w:val="0"/>
                                  <w:marRight w:val="0"/>
                                  <w:marTop w:val="0"/>
                                  <w:marBottom w:val="0"/>
                                  <w:divBdr>
                                    <w:top w:val="none" w:sz="0" w:space="0" w:color="auto"/>
                                    <w:left w:val="none" w:sz="0" w:space="0" w:color="auto"/>
                                    <w:bottom w:val="none" w:sz="0" w:space="0" w:color="auto"/>
                                    <w:right w:val="none" w:sz="0" w:space="0" w:color="auto"/>
                                  </w:divBdr>
                                  <w:divsChild>
                                    <w:div w:id="122553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5533231">
      <w:marLeft w:val="0"/>
      <w:marRight w:val="0"/>
      <w:marTop w:val="0"/>
      <w:marBottom w:val="0"/>
      <w:divBdr>
        <w:top w:val="none" w:sz="0" w:space="0" w:color="auto"/>
        <w:left w:val="none" w:sz="0" w:space="0" w:color="auto"/>
        <w:bottom w:val="none" w:sz="0" w:space="0" w:color="auto"/>
        <w:right w:val="none" w:sz="0" w:space="0" w:color="auto"/>
      </w:divBdr>
    </w:div>
    <w:div w:id="1225533242">
      <w:marLeft w:val="0"/>
      <w:marRight w:val="0"/>
      <w:marTop w:val="0"/>
      <w:marBottom w:val="0"/>
      <w:divBdr>
        <w:top w:val="none" w:sz="0" w:space="0" w:color="auto"/>
        <w:left w:val="none" w:sz="0" w:space="0" w:color="auto"/>
        <w:bottom w:val="none" w:sz="0" w:space="0" w:color="auto"/>
        <w:right w:val="none" w:sz="0" w:space="0" w:color="auto"/>
      </w:divBdr>
      <w:divsChild>
        <w:div w:id="1225533222">
          <w:marLeft w:val="0"/>
          <w:marRight w:val="0"/>
          <w:marTop w:val="0"/>
          <w:marBottom w:val="0"/>
          <w:divBdr>
            <w:top w:val="none" w:sz="0" w:space="0" w:color="auto"/>
            <w:left w:val="none" w:sz="0" w:space="0" w:color="auto"/>
            <w:bottom w:val="none" w:sz="0" w:space="0" w:color="auto"/>
            <w:right w:val="none" w:sz="0" w:space="0" w:color="auto"/>
          </w:divBdr>
          <w:divsChild>
            <w:div w:id="122553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3249">
      <w:marLeft w:val="0"/>
      <w:marRight w:val="0"/>
      <w:marTop w:val="0"/>
      <w:marBottom w:val="0"/>
      <w:divBdr>
        <w:top w:val="none" w:sz="0" w:space="0" w:color="auto"/>
        <w:left w:val="none" w:sz="0" w:space="0" w:color="auto"/>
        <w:bottom w:val="none" w:sz="0" w:space="0" w:color="auto"/>
        <w:right w:val="none" w:sz="0" w:space="0" w:color="auto"/>
      </w:divBdr>
      <w:divsChild>
        <w:div w:id="1225533225">
          <w:marLeft w:val="0"/>
          <w:marRight w:val="0"/>
          <w:marTop w:val="0"/>
          <w:marBottom w:val="0"/>
          <w:divBdr>
            <w:top w:val="none" w:sz="0" w:space="0" w:color="auto"/>
            <w:left w:val="none" w:sz="0" w:space="0" w:color="auto"/>
            <w:bottom w:val="none" w:sz="0" w:space="0" w:color="auto"/>
            <w:right w:val="none" w:sz="0" w:space="0" w:color="auto"/>
          </w:divBdr>
          <w:divsChild>
            <w:div w:id="122553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533255">
      <w:marLeft w:val="0"/>
      <w:marRight w:val="0"/>
      <w:marTop w:val="0"/>
      <w:marBottom w:val="0"/>
      <w:divBdr>
        <w:top w:val="none" w:sz="0" w:space="0" w:color="auto"/>
        <w:left w:val="none" w:sz="0" w:space="0" w:color="auto"/>
        <w:bottom w:val="none" w:sz="0" w:space="0" w:color="auto"/>
        <w:right w:val="none" w:sz="0" w:space="0" w:color="auto"/>
      </w:divBdr>
      <w:divsChild>
        <w:div w:id="1225533226">
          <w:marLeft w:val="0"/>
          <w:marRight w:val="0"/>
          <w:marTop w:val="0"/>
          <w:marBottom w:val="0"/>
          <w:divBdr>
            <w:top w:val="none" w:sz="0" w:space="0" w:color="auto"/>
            <w:left w:val="none" w:sz="0" w:space="0" w:color="auto"/>
            <w:bottom w:val="none" w:sz="0" w:space="0" w:color="auto"/>
            <w:right w:val="none" w:sz="0" w:space="0" w:color="auto"/>
          </w:divBdr>
        </w:div>
        <w:div w:id="1225533230">
          <w:marLeft w:val="0"/>
          <w:marRight w:val="0"/>
          <w:marTop w:val="0"/>
          <w:marBottom w:val="0"/>
          <w:divBdr>
            <w:top w:val="none" w:sz="0" w:space="0" w:color="auto"/>
            <w:left w:val="none" w:sz="0" w:space="0" w:color="auto"/>
            <w:bottom w:val="none" w:sz="0" w:space="0" w:color="auto"/>
            <w:right w:val="none" w:sz="0" w:space="0" w:color="auto"/>
          </w:divBdr>
        </w:div>
        <w:div w:id="1225533232">
          <w:marLeft w:val="0"/>
          <w:marRight w:val="0"/>
          <w:marTop w:val="0"/>
          <w:marBottom w:val="0"/>
          <w:divBdr>
            <w:top w:val="none" w:sz="0" w:space="0" w:color="auto"/>
            <w:left w:val="none" w:sz="0" w:space="0" w:color="auto"/>
            <w:bottom w:val="none" w:sz="0" w:space="0" w:color="auto"/>
            <w:right w:val="none" w:sz="0" w:space="0" w:color="auto"/>
          </w:divBdr>
        </w:div>
        <w:div w:id="1225533237">
          <w:marLeft w:val="0"/>
          <w:marRight w:val="0"/>
          <w:marTop w:val="0"/>
          <w:marBottom w:val="0"/>
          <w:divBdr>
            <w:top w:val="none" w:sz="0" w:space="0" w:color="auto"/>
            <w:left w:val="none" w:sz="0" w:space="0" w:color="auto"/>
            <w:bottom w:val="none" w:sz="0" w:space="0" w:color="auto"/>
            <w:right w:val="none" w:sz="0" w:space="0" w:color="auto"/>
          </w:divBdr>
        </w:div>
        <w:div w:id="1225533238">
          <w:marLeft w:val="0"/>
          <w:marRight w:val="0"/>
          <w:marTop w:val="0"/>
          <w:marBottom w:val="0"/>
          <w:divBdr>
            <w:top w:val="none" w:sz="0" w:space="0" w:color="auto"/>
            <w:left w:val="none" w:sz="0" w:space="0" w:color="auto"/>
            <w:bottom w:val="none" w:sz="0" w:space="0" w:color="auto"/>
            <w:right w:val="none" w:sz="0" w:space="0" w:color="auto"/>
          </w:divBdr>
        </w:div>
        <w:div w:id="1225533240">
          <w:marLeft w:val="0"/>
          <w:marRight w:val="0"/>
          <w:marTop w:val="0"/>
          <w:marBottom w:val="0"/>
          <w:divBdr>
            <w:top w:val="none" w:sz="0" w:space="0" w:color="auto"/>
            <w:left w:val="none" w:sz="0" w:space="0" w:color="auto"/>
            <w:bottom w:val="none" w:sz="0" w:space="0" w:color="auto"/>
            <w:right w:val="none" w:sz="0" w:space="0" w:color="auto"/>
          </w:divBdr>
        </w:div>
        <w:div w:id="1225533243">
          <w:marLeft w:val="0"/>
          <w:marRight w:val="0"/>
          <w:marTop w:val="0"/>
          <w:marBottom w:val="0"/>
          <w:divBdr>
            <w:top w:val="none" w:sz="0" w:space="0" w:color="auto"/>
            <w:left w:val="none" w:sz="0" w:space="0" w:color="auto"/>
            <w:bottom w:val="none" w:sz="0" w:space="0" w:color="auto"/>
            <w:right w:val="none" w:sz="0" w:space="0" w:color="auto"/>
          </w:divBdr>
        </w:div>
        <w:div w:id="1225533245">
          <w:marLeft w:val="0"/>
          <w:marRight w:val="0"/>
          <w:marTop w:val="0"/>
          <w:marBottom w:val="0"/>
          <w:divBdr>
            <w:top w:val="none" w:sz="0" w:space="0" w:color="auto"/>
            <w:left w:val="none" w:sz="0" w:space="0" w:color="auto"/>
            <w:bottom w:val="none" w:sz="0" w:space="0" w:color="auto"/>
            <w:right w:val="none" w:sz="0" w:space="0" w:color="auto"/>
          </w:divBdr>
        </w:div>
        <w:div w:id="1225533252">
          <w:marLeft w:val="0"/>
          <w:marRight w:val="0"/>
          <w:marTop w:val="0"/>
          <w:marBottom w:val="0"/>
          <w:divBdr>
            <w:top w:val="none" w:sz="0" w:space="0" w:color="auto"/>
            <w:left w:val="none" w:sz="0" w:space="0" w:color="auto"/>
            <w:bottom w:val="none" w:sz="0" w:space="0" w:color="auto"/>
            <w:right w:val="none" w:sz="0" w:space="0" w:color="auto"/>
          </w:divBdr>
        </w:div>
      </w:divsChild>
    </w:div>
    <w:div w:id="1225533257">
      <w:marLeft w:val="0"/>
      <w:marRight w:val="0"/>
      <w:marTop w:val="0"/>
      <w:marBottom w:val="0"/>
      <w:divBdr>
        <w:top w:val="none" w:sz="0" w:space="0" w:color="auto"/>
        <w:left w:val="none" w:sz="0" w:space="0" w:color="auto"/>
        <w:bottom w:val="none" w:sz="0" w:space="0" w:color="auto"/>
        <w:right w:val="none" w:sz="0" w:space="0" w:color="auto"/>
      </w:divBdr>
    </w:div>
    <w:div w:id="1340276807">
      <w:bodyDiv w:val="1"/>
      <w:marLeft w:val="0"/>
      <w:marRight w:val="0"/>
      <w:marTop w:val="0"/>
      <w:marBottom w:val="0"/>
      <w:divBdr>
        <w:top w:val="none" w:sz="0" w:space="0" w:color="auto"/>
        <w:left w:val="none" w:sz="0" w:space="0" w:color="auto"/>
        <w:bottom w:val="none" w:sz="0" w:space="0" w:color="auto"/>
        <w:right w:val="none" w:sz="0" w:space="0" w:color="auto"/>
      </w:divBdr>
    </w:div>
    <w:div w:id="1563365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 /><Relationship Id="rId18" Type="http://schemas.openxmlformats.org/officeDocument/2006/relationships/hyperlink" Target="https://doi.org/10.3386/w26983" TargetMode="External" /><Relationship Id="rId26" Type="http://schemas.openxmlformats.org/officeDocument/2006/relationships/hyperlink" Target="http://ierc.sbu.ac.ir/File/Article/%20Theory%20of%20Fiscal%20Policy%20in%20an%20Islamic%20State_94820.pdf" TargetMode="External" /><Relationship Id="rId39" Type="http://schemas.openxmlformats.org/officeDocument/2006/relationships/hyperlink" Target="http://ww.fintp.hr/upload/files/ftp/2008/1/primorac.pdf" TargetMode="External" /><Relationship Id="rId21" Type="http://schemas.openxmlformats.org/officeDocument/2006/relationships/hyperlink" Target="https://books.google.co.id/books?hl=id&amp;lr=&amp;id=EnVPAwAAQBAJ&amp;oi=fnd&amp;pg=PP1&amp;dq=Buchanan,+J.M.+(1987).+Public+Finance+in+Democratic+Process&amp;ots" TargetMode="External" /><Relationship Id="rId34" Type="http://schemas.openxmlformats.org/officeDocument/2006/relationships/hyperlink" Target="https://www.jstor.org/stable/2227672" TargetMode="External" /><Relationship Id="rId42" Type="http://schemas.openxmlformats.org/officeDocument/2006/relationships/hyperlink" Target="https://www.jstor.org/stable/1925895" TargetMode="External" /><Relationship Id="rId47" Type="http://schemas.openxmlformats.org/officeDocument/2006/relationships/hyperlink" Target="https://doi.org/10.1016/S1473-3099(20)30129-8" TargetMode="External" /><Relationship Id="rId50" Type="http://schemas.openxmlformats.org/officeDocument/2006/relationships/header" Target="header1.xml" /><Relationship Id="rId55"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image" Target="media/image2.emf" /><Relationship Id="rId17" Type="http://schemas.openxmlformats.org/officeDocument/2006/relationships/hyperlink" Target="https://doi.org/10.3386/w26867" TargetMode="External" /><Relationship Id="rId25" Type="http://schemas.openxmlformats.org/officeDocument/2006/relationships/hyperlink" Target="http://links.jstor.org/sici?sici=0013-0133%28189703%25%20297%3A25%3C46%3ATPTOT%3E2.0.CO%3B2-I" TargetMode="External" /><Relationship Id="rId33" Type="http://schemas.openxmlformats.org/officeDocument/2006/relationships/hyperlink" Target="http://www.palgrave.com/us/book/9780312121624" TargetMode="External" /><Relationship Id="rId38" Type="http://schemas.openxmlformats.org/officeDocument/2006/relationships/hyperlink" Target="https://www.jstor.org/stable/2222721" TargetMode="External" /><Relationship Id="rId46" Type="http://schemas.openxmlformats.org/officeDocument/2006/relationships/hyperlink" Target="https://www.who.int/news-room/q-a-detail/q-a-similarities-and-differences-covid-19-andinfluenza" TargetMode="External" /><Relationship Id="rId2" Type="http://schemas.openxmlformats.org/officeDocument/2006/relationships/numbering" Target="numbering.xml" /><Relationship Id="rId16" Type="http://schemas.openxmlformats.org/officeDocument/2006/relationships/hyperlink" Target="https://doi.org/10.1016/S0140-6736(20)30567-5" TargetMode="External" /><Relationship Id="rId20" Type="http://schemas.openxmlformats.org/officeDocument/2006/relationships/hyperlink" Target="https://www.bloomberg.com/news/articles/2020-03-17/goldman-now-see-china-s-economyslumping-9-in-first-quarter" TargetMode="External" /><Relationship Id="rId29" Type="http://schemas.openxmlformats.org/officeDocument/2006/relationships/hyperlink" Target="https://www.hukumonline.com/berita/baca/lt5e6bd744c6f55/ini-rangkaian-stimulus-ekonomi-kedua-untuk-menangani-dampak-virus-corona" TargetMode="External" /><Relationship Id="rId41" Type="http://schemas.openxmlformats.org/officeDocument/2006/relationships/hyperlink" Target="https://mitpress.mit.edu/books/microeconomics-market-failures" TargetMode="External" /><Relationship Id="rId54"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oleObject" Target="embeddings/oleObject1.bin" /><Relationship Id="rId24" Type="http://schemas.openxmlformats.org/officeDocument/2006/relationships/hyperlink" Target="https://www.economist.com/finance-and-economics/2020/03/05/commodity-economiesface-their-own-reckoning-due-to-covid-19" TargetMode="External" /><Relationship Id="rId32" Type="http://schemas.openxmlformats.org/officeDocument/2006/relationships/hyperlink" Target="https://doi.org/10.1596/33540" TargetMode="External" /><Relationship Id="rId37" Type="http://schemas.openxmlformats.org/officeDocument/2006/relationships/hyperlink" Target="https://archive.org/details/AStudyInPublicFinance" TargetMode="External" /><Relationship Id="rId40" Type="http://schemas.openxmlformats.org/officeDocument/2006/relationships/hyperlink" Target="https://www.princeton.edu/ceps/workingpapers/80rosen.pdf" TargetMode="External" /><Relationship Id="rId45" Type="http://schemas.openxmlformats.org/officeDocument/2006/relationships/hyperlink" Target="https://doi.org/10.1016/S0140-6736(20)30526-2" TargetMode="External" /><Relationship Id="rId53"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hyperlink" Target="https://doi.org/10.3386/w26981" TargetMode="External" /><Relationship Id="rId23" Type="http://schemas.openxmlformats.org/officeDocument/2006/relationships/hyperlink" Target="https://doi.org/10.3386/w27017" TargetMode="External" /><Relationship Id="rId28" Type="http://schemas.openxmlformats.org/officeDocument/2006/relationships/hyperlink" Target="https://doi.org/10.1016/j.frl.2020.101512" TargetMode="External" /><Relationship Id="rId36" Type="http://schemas.openxmlformats.org/officeDocument/2006/relationships/hyperlink" Target="https://www.hukumonline.com/klinik/detail/ulasan/lt5ec37e128f962/pemulihan-ekonomi-nasional-untuk-menanggulangi-imbas-wabah-covid-19" TargetMode="External" /><Relationship Id="rId49" Type="http://schemas.openxmlformats.org/officeDocument/2006/relationships/hyperlink" Target="https://books.google.co.id/books?isbn=0199548471" TargetMode="External" /><Relationship Id="rId10" Type="http://schemas.openxmlformats.org/officeDocument/2006/relationships/image" Target="media/image1.emf" /><Relationship Id="rId19" Type="http://schemas.openxmlformats.org/officeDocument/2006/relationships/hyperlink" Target="https://www.policyuncertainty.com/global_monthly.html" TargetMode="External" /><Relationship Id="rId31" Type="http://schemas.openxmlformats.org/officeDocument/2006/relationships/hyperlink" Target="https://www.imf.org/external/mmedia/view.aspx?vid=6144138845001" TargetMode="External" /><Relationship Id="rId44" Type="http://schemas.openxmlformats.org/officeDocument/2006/relationships/hyperlink" Target="https://books.google.co.id/books/about/Dasar_dasar_ilmu_keuangan_negara.%20html?id=bsBHHAAACAAJ&amp;redir_esc=y" TargetMode="External" /><Relationship Id="rId52"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yperlink" Target="mailto:tikafatichahhanim2018@gmail.com" TargetMode="External" /><Relationship Id="rId14" Type="http://schemas.openxmlformats.org/officeDocument/2006/relationships/hyperlink" Target="https://www.policyuncertainty.com/wui_quarterly.html" TargetMode="External" /><Relationship Id="rId22" Type="http://schemas.openxmlformats.org/officeDocument/2006/relationships/hyperlink" Target="https://www.cnn.com/2020/03/18/business/crude-oil-prices-coronavirus/index.html" TargetMode="External" /><Relationship Id="rId27" Type="http://schemas.openxmlformats.org/officeDocument/2006/relationships/hyperlink" Target="https://www.goldmansachs.com/insights/pages/us-daily-20-march-2020.html" TargetMode="External" /><Relationship Id="rId30" Type="http://schemas.openxmlformats.org/officeDocument/2006/relationships/hyperlink" Target="https://doi.org/10.1371/journal.pcbi.1001076" TargetMode="External" /><Relationship Id="rId35" Type="http://schemas.openxmlformats.org/officeDocument/2006/relationships/hyperlink" Target="https://doi.org/10.1016/j.ijsu.2020.04.018" TargetMode="External" /><Relationship Id="rId43" Type="http://schemas.openxmlformats.org/officeDocument/2006/relationships/hyperlink" Target="https://ideas.repec.org/e/psa57.html" TargetMode="External" /><Relationship Id="rId48" Type="http://schemas.openxmlformats.org/officeDocument/2006/relationships/hyperlink" Target="https://doi.org/10.3201/eid2606.200320" TargetMode="External" /><Relationship Id="rId8" Type="http://schemas.openxmlformats.org/officeDocument/2006/relationships/hyperlink" Target="mailto:iainanjal@gmail.com" TargetMode="External" /><Relationship Id="rId51" Type="http://schemas.openxmlformats.org/officeDocument/2006/relationships/header" Target="header2.xml" /><Relationship Id="rId3" Type="http://schemas.openxmlformats.org/officeDocument/2006/relationships/styles" Target="styles.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19E05B-46C4-4C11-8BD0-5222C5CCD3B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7894</Words>
  <Characters>44996</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BAB I</vt:lpstr>
    </vt:vector>
  </TitlesOfParts>
  <Company>PurwaSetyaWisesa</Company>
  <LinksUpToDate>false</LinksUpToDate>
  <CharactersWithSpaces>52785</CharactersWithSpaces>
  <SharedDoc>false</SharedDoc>
  <HLinks>
    <vt:vector size="228" baseType="variant">
      <vt:variant>
        <vt:i4>917576</vt:i4>
      </vt:variant>
      <vt:variant>
        <vt:i4>117</vt:i4>
      </vt:variant>
      <vt:variant>
        <vt:i4>0</vt:i4>
      </vt:variant>
      <vt:variant>
        <vt:i4>5</vt:i4>
      </vt:variant>
      <vt:variant>
        <vt:lpwstr>https://books.google.co.id/books?isbn=0199548471</vt:lpwstr>
      </vt:variant>
      <vt:variant>
        <vt:lpwstr/>
      </vt:variant>
      <vt:variant>
        <vt:i4>6750312</vt:i4>
      </vt:variant>
      <vt:variant>
        <vt:i4>114</vt:i4>
      </vt:variant>
      <vt:variant>
        <vt:i4>0</vt:i4>
      </vt:variant>
      <vt:variant>
        <vt:i4>5</vt:i4>
      </vt:variant>
      <vt:variant>
        <vt:lpwstr>https://doi.org/10.3201/eid2606.200320</vt:lpwstr>
      </vt:variant>
      <vt:variant>
        <vt:lpwstr/>
      </vt:variant>
      <vt:variant>
        <vt:i4>262145</vt:i4>
      </vt:variant>
      <vt:variant>
        <vt:i4>111</vt:i4>
      </vt:variant>
      <vt:variant>
        <vt:i4>0</vt:i4>
      </vt:variant>
      <vt:variant>
        <vt:i4>5</vt:i4>
      </vt:variant>
      <vt:variant>
        <vt:lpwstr>https://doi.org/10.1016/S1473-3099(20)30129-8</vt:lpwstr>
      </vt:variant>
      <vt:variant>
        <vt:lpwstr/>
      </vt:variant>
      <vt:variant>
        <vt:i4>3997735</vt:i4>
      </vt:variant>
      <vt:variant>
        <vt:i4>108</vt:i4>
      </vt:variant>
      <vt:variant>
        <vt:i4>0</vt:i4>
      </vt:variant>
      <vt:variant>
        <vt:i4>5</vt:i4>
      </vt:variant>
      <vt:variant>
        <vt:lpwstr>https://www.who.int/news-room/q-a-detail/q-a-similarities-and-differences-covid-19-andinfluenza</vt:lpwstr>
      </vt:variant>
      <vt:variant>
        <vt:lpwstr/>
      </vt:variant>
      <vt:variant>
        <vt:i4>917507</vt:i4>
      </vt:variant>
      <vt:variant>
        <vt:i4>105</vt:i4>
      </vt:variant>
      <vt:variant>
        <vt:i4>0</vt:i4>
      </vt:variant>
      <vt:variant>
        <vt:i4>5</vt:i4>
      </vt:variant>
      <vt:variant>
        <vt:lpwstr>https://doi.org/10.1016/S0140-6736(20)30526-2</vt:lpwstr>
      </vt:variant>
      <vt:variant>
        <vt:lpwstr/>
      </vt:variant>
      <vt:variant>
        <vt:i4>1441890</vt:i4>
      </vt:variant>
      <vt:variant>
        <vt:i4>102</vt:i4>
      </vt:variant>
      <vt:variant>
        <vt:i4>0</vt:i4>
      </vt:variant>
      <vt:variant>
        <vt:i4>5</vt:i4>
      </vt:variant>
      <vt:variant>
        <vt:lpwstr>https://books.google.co.id/books/about/Dasar_dasar_ilmu_keuangan_negara. html?id=bsBHHAAACAAJ&amp;redir_esc=y</vt:lpwstr>
      </vt:variant>
      <vt:variant>
        <vt:lpwstr/>
      </vt:variant>
      <vt:variant>
        <vt:i4>1441808</vt:i4>
      </vt:variant>
      <vt:variant>
        <vt:i4>99</vt:i4>
      </vt:variant>
      <vt:variant>
        <vt:i4>0</vt:i4>
      </vt:variant>
      <vt:variant>
        <vt:i4>5</vt:i4>
      </vt:variant>
      <vt:variant>
        <vt:lpwstr>https://ideas.repec.org/e/psa57.html</vt:lpwstr>
      </vt:variant>
      <vt:variant>
        <vt:lpwstr/>
      </vt:variant>
      <vt:variant>
        <vt:i4>5898304</vt:i4>
      </vt:variant>
      <vt:variant>
        <vt:i4>96</vt:i4>
      </vt:variant>
      <vt:variant>
        <vt:i4>0</vt:i4>
      </vt:variant>
      <vt:variant>
        <vt:i4>5</vt:i4>
      </vt:variant>
      <vt:variant>
        <vt:lpwstr>https://www.jstor.org/stable/1925895</vt:lpwstr>
      </vt:variant>
      <vt:variant>
        <vt:lpwstr/>
      </vt:variant>
      <vt:variant>
        <vt:i4>4653085</vt:i4>
      </vt:variant>
      <vt:variant>
        <vt:i4>93</vt:i4>
      </vt:variant>
      <vt:variant>
        <vt:i4>0</vt:i4>
      </vt:variant>
      <vt:variant>
        <vt:i4>5</vt:i4>
      </vt:variant>
      <vt:variant>
        <vt:lpwstr>https://mitpress.mit.edu/books/microeconomics-market-failures</vt:lpwstr>
      </vt:variant>
      <vt:variant>
        <vt:lpwstr/>
      </vt:variant>
      <vt:variant>
        <vt:i4>1048651</vt:i4>
      </vt:variant>
      <vt:variant>
        <vt:i4>90</vt:i4>
      </vt:variant>
      <vt:variant>
        <vt:i4>0</vt:i4>
      </vt:variant>
      <vt:variant>
        <vt:i4>5</vt:i4>
      </vt:variant>
      <vt:variant>
        <vt:lpwstr>https://www.princeton.edu/ceps/workingpapers/80rosen.pdf</vt:lpwstr>
      </vt:variant>
      <vt:variant>
        <vt:lpwstr/>
      </vt:variant>
      <vt:variant>
        <vt:i4>7864361</vt:i4>
      </vt:variant>
      <vt:variant>
        <vt:i4>87</vt:i4>
      </vt:variant>
      <vt:variant>
        <vt:i4>0</vt:i4>
      </vt:variant>
      <vt:variant>
        <vt:i4>5</vt:i4>
      </vt:variant>
      <vt:variant>
        <vt:lpwstr>http://ww.fintp.hr/upload/files/ftp/2008/1/primorac.pdf</vt:lpwstr>
      </vt:variant>
      <vt:variant>
        <vt:lpwstr/>
      </vt:variant>
      <vt:variant>
        <vt:i4>5374023</vt:i4>
      </vt:variant>
      <vt:variant>
        <vt:i4>84</vt:i4>
      </vt:variant>
      <vt:variant>
        <vt:i4>0</vt:i4>
      </vt:variant>
      <vt:variant>
        <vt:i4>5</vt:i4>
      </vt:variant>
      <vt:variant>
        <vt:lpwstr>https://www.jstor.org/stable/2222721</vt:lpwstr>
      </vt:variant>
      <vt:variant>
        <vt:lpwstr/>
      </vt:variant>
      <vt:variant>
        <vt:i4>4784201</vt:i4>
      </vt:variant>
      <vt:variant>
        <vt:i4>81</vt:i4>
      </vt:variant>
      <vt:variant>
        <vt:i4>0</vt:i4>
      </vt:variant>
      <vt:variant>
        <vt:i4>5</vt:i4>
      </vt:variant>
      <vt:variant>
        <vt:lpwstr>https://archive.org/details/AStudyInPublicFinance</vt:lpwstr>
      </vt:variant>
      <vt:variant>
        <vt:lpwstr/>
      </vt:variant>
      <vt:variant>
        <vt:i4>5898250</vt:i4>
      </vt:variant>
      <vt:variant>
        <vt:i4>78</vt:i4>
      </vt:variant>
      <vt:variant>
        <vt:i4>0</vt:i4>
      </vt:variant>
      <vt:variant>
        <vt:i4>5</vt:i4>
      </vt:variant>
      <vt:variant>
        <vt:lpwstr>https://www.hukumonline.com/klinik/detail/ulasan/lt5ec37e128f962/pemulihan-ekonomi-nasional-untuk-menanggulangi-imbas-wabah-covid-19</vt:lpwstr>
      </vt:variant>
      <vt:variant>
        <vt:lpwstr/>
      </vt:variant>
      <vt:variant>
        <vt:i4>3211309</vt:i4>
      </vt:variant>
      <vt:variant>
        <vt:i4>75</vt:i4>
      </vt:variant>
      <vt:variant>
        <vt:i4>0</vt:i4>
      </vt:variant>
      <vt:variant>
        <vt:i4>5</vt:i4>
      </vt:variant>
      <vt:variant>
        <vt:lpwstr>https://doi.org/10.1016/j.ijsu.2020.04.018</vt:lpwstr>
      </vt:variant>
      <vt:variant>
        <vt:lpwstr/>
      </vt:variant>
      <vt:variant>
        <vt:i4>5242951</vt:i4>
      </vt:variant>
      <vt:variant>
        <vt:i4>72</vt:i4>
      </vt:variant>
      <vt:variant>
        <vt:i4>0</vt:i4>
      </vt:variant>
      <vt:variant>
        <vt:i4>5</vt:i4>
      </vt:variant>
      <vt:variant>
        <vt:lpwstr>https://www.jstor.org/stable/2227672</vt:lpwstr>
      </vt:variant>
      <vt:variant>
        <vt:lpwstr/>
      </vt:variant>
      <vt:variant>
        <vt:i4>524294</vt:i4>
      </vt:variant>
      <vt:variant>
        <vt:i4>69</vt:i4>
      </vt:variant>
      <vt:variant>
        <vt:i4>0</vt:i4>
      </vt:variant>
      <vt:variant>
        <vt:i4>5</vt:i4>
      </vt:variant>
      <vt:variant>
        <vt:lpwstr>http://www.palgrave.com/us/book/9780312121624</vt:lpwstr>
      </vt:variant>
      <vt:variant>
        <vt:lpwstr/>
      </vt:variant>
      <vt:variant>
        <vt:i4>1900639</vt:i4>
      </vt:variant>
      <vt:variant>
        <vt:i4>66</vt:i4>
      </vt:variant>
      <vt:variant>
        <vt:i4>0</vt:i4>
      </vt:variant>
      <vt:variant>
        <vt:i4>5</vt:i4>
      </vt:variant>
      <vt:variant>
        <vt:lpwstr>https://doi.org/10.1596/33540</vt:lpwstr>
      </vt:variant>
      <vt:variant>
        <vt:lpwstr/>
      </vt:variant>
      <vt:variant>
        <vt:i4>6815785</vt:i4>
      </vt:variant>
      <vt:variant>
        <vt:i4>63</vt:i4>
      </vt:variant>
      <vt:variant>
        <vt:i4>0</vt:i4>
      </vt:variant>
      <vt:variant>
        <vt:i4>5</vt:i4>
      </vt:variant>
      <vt:variant>
        <vt:lpwstr>https://www.imf.org/external/mmedia/view.aspx?vid=6144138845001</vt:lpwstr>
      </vt:variant>
      <vt:variant>
        <vt:lpwstr/>
      </vt:variant>
      <vt:variant>
        <vt:i4>4915279</vt:i4>
      </vt:variant>
      <vt:variant>
        <vt:i4>60</vt:i4>
      </vt:variant>
      <vt:variant>
        <vt:i4>0</vt:i4>
      </vt:variant>
      <vt:variant>
        <vt:i4>5</vt:i4>
      </vt:variant>
      <vt:variant>
        <vt:lpwstr>https://doi.org/10.1371/journal.pcbi.1001076</vt:lpwstr>
      </vt:variant>
      <vt:variant>
        <vt:lpwstr/>
      </vt:variant>
      <vt:variant>
        <vt:i4>4325469</vt:i4>
      </vt:variant>
      <vt:variant>
        <vt:i4>57</vt:i4>
      </vt:variant>
      <vt:variant>
        <vt:i4>0</vt:i4>
      </vt:variant>
      <vt:variant>
        <vt:i4>5</vt:i4>
      </vt:variant>
      <vt:variant>
        <vt:lpwstr>https://www.hukumonline.com/berita/baca/lt5e6bd744c6f55/ini-rangkaian-stimulus-ekonomi-kedua-untuk-menangani-dampak-virus-corona</vt:lpwstr>
      </vt:variant>
      <vt:variant>
        <vt:lpwstr/>
      </vt:variant>
      <vt:variant>
        <vt:i4>5308439</vt:i4>
      </vt:variant>
      <vt:variant>
        <vt:i4>54</vt:i4>
      </vt:variant>
      <vt:variant>
        <vt:i4>0</vt:i4>
      </vt:variant>
      <vt:variant>
        <vt:i4>5</vt:i4>
      </vt:variant>
      <vt:variant>
        <vt:lpwstr>https://doi.org/10.1016/j.frl.2020.101512</vt:lpwstr>
      </vt:variant>
      <vt:variant>
        <vt:lpwstr/>
      </vt:variant>
      <vt:variant>
        <vt:i4>7340082</vt:i4>
      </vt:variant>
      <vt:variant>
        <vt:i4>51</vt:i4>
      </vt:variant>
      <vt:variant>
        <vt:i4>0</vt:i4>
      </vt:variant>
      <vt:variant>
        <vt:i4>5</vt:i4>
      </vt:variant>
      <vt:variant>
        <vt:lpwstr>https://www.goldmansachs.com/insights/pages/us-daily-20-march-2020.html</vt:lpwstr>
      </vt:variant>
      <vt:variant>
        <vt:lpwstr/>
      </vt:variant>
      <vt:variant>
        <vt:i4>2555997</vt:i4>
      </vt:variant>
      <vt:variant>
        <vt:i4>48</vt:i4>
      </vt:variant>
      <vt:variant>
        <vt:i4>0</vt:i4>
      </vt:variant>
      <vt:variant>
        <vt:i4>5</vt:i4>
      </vt:variant>
      <vt:variant>
        <vt:lpwstr>http://ierc.sbu.ac.ir/File/Article/ Theory of Fiscal Policy in an Islamic State_94820.pdf</vt:lpwstr>
      </vt:variant>
      <vt:variant>
        <vt:lpwstr/>
      </vt:variant>
      <vt:variant>
        <vt:i4>1769564</vt:i4>
      </vt:variant>
      <vt:variant>
        <vt:i4>45</vt:i4>
      </vt:variant>
      <vt:variant>
        <vt:i4>0</vt:i4>
      </vt:variant>
      <vt:variant>
        <vt:i4>5</vt:i4>
      </vt:variant>
      <vt:variant>
        <vt:lpwstr>http://links.jstor.org/sici?sici=0013-0133%28189703% 297%3A25%3C46%3ATPTOT%3E2.0.CO%3B2-I</vt:lpwstr>
      </vt:variant>
      <vt:variant>
        <vt:lpwstr/>
      </vt:variant>
      <vt:variant>
        <vt:i4>6553724</vt:i4>
      </vt:variant>
      <vt:variant>
        <vt:i4>42</vt:i4>
      </vt:variant>
      <vt:variant>
        <vt:i4>0</vt:i4>
      </vt:variant>
      <vt:variant>
        <vt:i4>5</vt:i4>
      </vt:variant>
      <vt:variant>
        <vt:lpwstr>https://www.economist.com/finance-and-economics/2020/03/05/commodity-economiesface-their-own-reckoning-due-to-covid-19</vt:lpwstr>
      </vt:variant>
      <vt:variant>
        <vt:lpwstr/>
      </vt:variant>
      <vt:variant>
        <vt:i4>2883630</vt:i4>
      </vt:variant>
      <vt:variant>
        <vt:i4>39</vt:i4>
      </vt:variant>
      <vt:variant>
        <vt:i4>0</vt:i4>
      </vt:variant>
      <vt:variant>
        <vt:i4>5</vt:i4>
      </vt:variant>
      <vt:variant>
        <vt:lpwstr>https://doi.org/10.3386/w27017</vt:lpwstr>
      </vt:variant>
      <vt:variant>
        <vt:lpwstr/>
      </vt:variant>
      <vt:variant>
        <vt:i4>2687081</vt:i4>
      </vt:variant>
      <vt:variant>
        <vt:i4>36</vt:i4>
      </vt:variant>
      <vt:variant>
        <vt:i4>0</vt:i4>
      </vt:variant>
      <vt:variant>
        <vt:i4>5</vt:i4>
      </vt:variant>
      <vt:variant>
        <vt:lpwstr>https://www.cnn.com/2020/03/18/business/crude-oil-prices-coronavirus/index.html</vt:lpwstr>
      </vt:variant>
      <vt:variant>
        <vt:lpwstr/>
      </vt:variant>
      <vt:variant>
        <vt:i4>6881385</vt:i4>
      </vt:variant>
      <vt:variant>
        <vt:i4>33</vt:i4>
      </vt:variant>
      <vt:variant>
        <vt:i4>0</vt:i4>
      </vt:variant>
      <vt:variant>
        <vt:i4>5</vt:i4>
      </vt:variant>
      <vt:variant>
        <vt:lpwstr>https://books.google.co.id/books?hl=id&amp;lr=&amp;id=EnVPAwAAQBAJ&amp;oi=fnd&amp;pg=PP1&amp;dq=Buchanan,+J.M.+(1987).+Public+Finance+in+Democratic+Process&amp;ots</vt:lpwstr>
      </vt:variant>
      <vt:variant>
        <vt:lpwstr/>
      </vt:variant>
      <vt:variant>
        <vt:i4>1114183</vt:i4>
      </vt:variant>
      <vt:variant>
        <vt:i4>30</vt:i4>
      </vt:variant>
      <vt:variant>
        <vt:i4>0</vt:i4>
      </vt:variant>
      <vt:variant>
        <vt:i4>5</vt:i4>
      </vt:variant>
      <vt:variant>
        <vt:lpwstr>https://www.bloomberg.com/news/articles/2020-03-17/goldman-now-see-china-s-economyslumping-9-in-first-quarter</vt:lpwstr>
      </vt:variant>
      <vt:variant>
        <vt:lpwstr/>
      </vt:variant>
      <vt:variant>
        <vt:i4>5111864</vt:i4>
      </vt:variant>
      <vt:variant>
        <vt:i4>27</vt:i4>
      </vt:variant>
      <vt:variant>
        <vt:i4>0</vt:i4>
      </vt:variant>
      <vt:variant>
        <vt:i4>5</vt:i4>
      </vt:variant>
      <vt:variant>
        <vt:lpwstr>https://www.policyuncertainty.com/global_monthly.html</vt:lpwstr>
      </vt:variant>
      <vt:variant>
        <vt:lpwstr/>
      </vt:variant>
      <vt:variant>
        <vt:i4>2162726</vt:i4>
      </vt:variant>
      <vt:variant>
        <vt:i4>24</vt:i4>
      </vt:variant>
      <vt:variant>
        <vt:i4>0</vt:i4>
      </vt:variant>
      <vt:variant>
        <vt:i4>5</vt:i4>
      </vt:variant>
      <vt:variant>
        <vt:lpwstr>https://doi.org/10.3386/w26983</vt:lpwstr>
      </vt:variant>
      <vt:variant>
        <vt:lpwstr/>
      </vt:variant>
      <vt:variant>
        <vt:i4>2359336</vt:i4>
      </vt:variant>
      <vt:variant>
        <vt:i4>21</vt:i4>
      </vt:variant>
      <vt:variant>
        <vt:i4>0</vt:i4>
      </vt:variant>
      <vt:variant>
        <vt:i4>5</vt:i4>
      </vt:variant>
      <vt:variant>
        <vt:lpwstr>https://doi.org/10.3386/w26867</vt:lpwstr>
      </vt:variant>
      <vt:variant>
        <vt:lpwstr/>
      </vt:variant>
      <vt:variant>
        <vt:i4>655362</vt:i4>
      </vt:variant>
      <vt:variant>
        <vt:i4>18</vt:i4>
      </vt:variant>
      <vt:variant>
        <vt:i4>0</vt:i4>
      </vt:variant>
      <vt:variant>
        <vt:i4>5</vt:i4>
      </vt:variant>
      <vt:variant>
        <vt:lpwstr>https://doi.org/10.1016/S0140-6736(20)30567-5</vt:lpwstr>
      </vt:variant>
      <vt:variant>
        <vt:lpwstr/>
      </vt:variant>
      <vt:variant>
        <vt:i4>2293798</vt:i4>
      </vt:variant>
      <vt:variant>
        <vt:i4>15</vt:i4>
      </vt:variant>
      <vt:variant>
        <vt:i4>0</vt:i4>
      </vt:variant>
      <vt:variant>
        <vt:i4>5</vt:i4>
      </vt:variant>
      <vt:variant>
        <vt:lpwstr>https://doi.org/10.3386/w26981</vt:lpwstr>
      </vt:variant>
      <vt:variant>
        <vt:lpwstr/>
      </vt:variant>
      <vt:variant>
        <vt:i4>2687063</vt:i4>
      </vt:variant>
      <vt:variant>
        <vt:i4>12</vt:i4>
      </vt:variant>
      <vt:variant>
        <vt:i4>0</vt:i4>
      </vt:variant>
      <vt:variant>
        <vt:i4>5</vt:i4>
      </vt:variant>
      <vt:variant>
        <vt:lpwstr>https://www.policyuncertainty.com/wui_quarterly.html</vt:lpwstr>
      </vt:variant>
      <vt:variant>
        <vt:lpwstr/>
      </vt:variant>
      <vt:variant>
        <vt:i4>6946884</vt:i4>
      </vt:variant>
      <vt:variant>
        <vt:i4>3</vt:i4>
      </vt:variant>
      <vt:variant>
        <vt:i4>0</vt:i4>
      </vt:variant>
      <vt:variant>
        <vt:i4>5</vt:i4>
      </vt:variant>
      <vt:variant>
        <vt:lpwstr>mailto:tikafatichahhanim2018@gmail.com</vt:lpwstr>
      </vt:variant>
      <vt:variant>
        <vt:lpwstr/>
      </vt:variant>
      <vt:variant>
        <vt:i4>6357071</vt:i4>
      </vt:variant>
      <vt:variant>
        <vt:i4>0</vt:i4>
      </vt:variant>
      <vt:variant>
        <vt:i4>0</vt:i4>
      </vt:variant>
      <vt:variant>
        <vt:i4>5</vt:i4>
      </vt:variant>
      <vt:variant>
        <vt:lpwstr>mailto:iainanjal@gmail.com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subject/>
  <dc:creator>JonMMx 2000</dc:creator>
  <cp:keywords/>
  <cp:lastModifiedBy>Pengguna Tamu</cp:lastModifiedBy>
  <cp:revision>2</cp:revision>
  <cp:lastPrinted>2010-08-26T22:36:00Z</cp:lastPrinted>
  <dcterms:created xsi:type="dcterms:W3CDTF">2020-06-03T08:57:00Z</dcterms:created>
  <dcterms:modified xsi:type="dcterms:W3CDTF">2020-06-03T08:57:00Z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ries Number">
    <vt:i4>990910</vt:i4>
  </property>
</Properties>
</file>