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C95" w:rsidRPr="007539CC" w:rsidRDefault="000D4C95" w:rsidP="000D4C95">
      <w:pPr>
        <w:pStyle w:val="ListParagraph"/>
        <w:spacing w:after="0" w:line="480" w:lineRule="auto"/>
        <w:ind w:left="0"/>
        <w:jc w:val="both"/>
        <w:rPr>
          <w:rFonts w:asciiTheme="majorBidi" w:hAnsiTheme="majorBidi" w:cstheme="majorBidi"/>
          <w:b/>
          <w:sz w:val="24"/>
          <w:szCs w:val="24"/>
        </w:rPr>
      </w:pPr>
      <w:proofErr w:type="spellStart"/>
      <w:r w:rsidRPr="007539CC">
        <w:rPr>
          <w:rFonts w:asciiTheme="majorBidi" w:hAnsiTheme="majorBidi" w:cstheme="majorBidi"/>
          <w:b/>
          <w:sz w:val="24"/>
          <w:szCs w:val="24"/>
        </w:rPr>
        <w:t>Penelitian</w:t>
      </w:r>
      <w:proofErr w:type="spellEnd"/>
      <w:r w:rsidRPr="007539CC">
        <w:rPr>
          <w:rFonts w:asciiTheme="majorBidi" w:hAnsiTheme="majorBidi" w:cstheme="majorBidi"/>
          <w:b/>
          <w:sz w:val="24"/>
          <w:szCs w:val="24"/>
        </w:rPr>
        <w:t xml:space="preserve"> </w:t>
      </w:r>
      <w:proofErr w:type="spellStart"/>
      <w:r w:rsidRPr="007539CC">
        <w:rPr>
          <w:rFonts w:asciiTheme="majorBidi" w:hAnsiTheme="majorBidi" w:cstheme="majorBidi"/>
          <w:b/>
          <w:sz w:val="24"/>
          <w:szCs w:val="24"/>
        </w:rPr>
        <w:t>Terdahulu</w:t>
      </w:r>
      <w:proofErr w:type="spellEnd"/>
    </w:p>
    <w:p w:rsidR="008F2CCC" w:rsidRDefault="000D4C95" w:rsidP="000D4C95">
      <w:pPr>
        <w:ind w:firstLine="720"/>
      </w:pPr>
      <w:bookmarkStart w:id="0" w:name="_GoBack"/>
      <w:bookmarkEnd w:id="0"/>
      <w:proofErr w:type="spellStart"/>
      <w:r w:rsidRPr="007539CC">
        <w:rPr>
          <w:rFonts w:asciiTheme="majorBidi" w:hAnsiTheme="majorBidi" w:cstheme="majorBidi"/>
          <w:sz w:val="24"/>
          <w:szCs w:val="24"/>
        </w:rPr>
        <w:t>Berikut</w:t>
      </w:r>
      <w:proofErr w:type="spellEnd"/>
      <w:r w:rsidRPr="007539CC">
        <w:rPr>
          <w:rFonts w:asciiTheme="majorBidi" w:hAnsiTheme="majorBidi" w:cstheme="majorBidi"/>
          <w:sz w:val="24"/>
          <w:szCs w:val="24"/>
        </w:rPr>
        <w:t xml:space="preserve"> kami </w:t>
      </w:r>
      <w:proofErr w:type="spellStart"/>
      <w:r w:rsidRPr="007539CC">
        <w:rPr>
          <w:rFonts w:asciiTheme="majorBidi" w:hAnsiTheme="majorBidi" w:cstheme="majorBidi"/>
          <w:sz w:val="24"/>
          <w:szCs w:val="24"/>
        </w:rPr>
        <w:t>lampirkan</w:t>
      </w:r>
      <w:proofErr w:type="spellEnd"/>
      <w:r w:rsidRPr="007539CC">
        <w:rPr>
          <w:rFonts w:asciiTheme="majorBidi" w:hAnsiTheme="majorBidi" w:cstheme="majorBidi"/>
          <w:sz w:val="24"/>
          <w:szCs w:val="24"/>
        </w:rPr>
        <w:t xml:space="preserve"> </w:t>
      </w:r>
      <w:proofErr w:type="spellStart"/>
      <w:r w:rsidRPr="007539CC">
        <w:rPr>
          <w:rFonts w:asciiTheme="majorBidi" w:hAnsiTheme="majorBidi" w:cstheme="majorBidi"/>
          <w:sz w:val="24"/>
          <w:szCs w:val="24"/>
        </w:rPr>
        <w:t>penelitian</w:t>
      </w:r>
      <w:proofErr w:type="spellEnd"/>
      <w:r w:rsidRPr="007539CC">
        <w:rPr>
          <w:rFonts w:asciiTheme="majorBidi" w:hAnsiTheme="majorBidi" w:cstheme="majorBidi"/>
          <w:sz w:val="24"/>
          <w:szCs w:val="24"/>
        </w:rPr>
        <w:t xml:space="preserve"> </w:t>
      </w:r>
      <w:proofErr w:type="spellStart"/>
      <w:r w:rsidRPr="007539CC">
        <w:rPr>
          <w:rFonts w:asciiTheme="majorBidi" w:hAnsiTheme="majorBidi" w:cstheme="majorBidi"/>
          <w:sz w:val="24"/>
          <w:szCs w:val="24"/>
        </w:rPr>
        <w:t>terdahulu</w:t>
      </w:r>
      <w:proofErr w:type="spellEnd"/>
      <w:r w:rsidRPr="007539CC">
        <w:rPr>
          <w:rFonts w:asciiTheme="majorBidi" w:hAnsiTheme="majorBidi" w:cstheme="majorBidi"/>
          <w:sz w:val="24"/>
          <w:szCs w:val="24"/>
        </w:rPr>
        <w:t xml:space="preserve"> yang </w:t>
      </w:r>
      <w:proofErr w:type="spellStart"/>
      <w:r w:rsidRPr="007539CC">
        <w:rPr>
          <w:rFonts w:asciiTheme="majorBidi" w:hAnsiTheme="majorBidi" w:cstheme="majorBidi"/>
          <w:sz w:val="24"/>
          <w:szCs w:val="24"/>
        </w:rPr>
        <w:t>memiliki</w:t>
      </w:r>
      <w:proofErr w:type="spellEnd"/>
      <w:r w:rsidRPr="007539CC">
        <w:rPr>
          <w:rFonts w:asciiTheme="majorBidi" w:hAnsiTheme="majorBidi" w:cstheme="majorBidi"/>
          <w:sz w:val="24"/>
          <w:szCs w:val="24"/>
        </w:rPr>
        <w:t xml:space="preserve"> </w:t>
      </w:r>
      <w:proofErr w:type="spellStart"/>
      <w:r w:rsidRPr="007539CC">
        <w:rPr>
          <w:rFonts w:asciiTheme="majorBidi" w:hAnsiTheme="majorBidi" w:cstheme="majorBidi"/>
          <w:color w:val="000000"/>
          <w:sz w:val="24"/>
          <w:szCs w:val="24"/>
        </w:rPr>
        <w:t>relevansi</w:t>
      </w:r>
      <w:proofErr w:type="spellEnd"/>
      <w:r w:rsidRPr="007539CC">
        <w:rPr>
          <w:rFonts w:asciiTheme="majorBidi" w:hAnsiTheme="majorBidi" w:cstheme="majorBidi"/>
          <w:color w:val="000000"/>
          <w:sz w:val="24"/>
          <w:szCs w:val="24"/>
        </w:rPr>
        <w:t xml:space="preserve"> </w:t>
      </w:r>
      <w:proofErr w:type="spellStart"/>
      <w:r w:rsidRPr="007539CC">
        <w:rPr>
          <w:rFonts w:asciiTheme="majorBidi" w:hAnsiTheme="majorBidi" w:cstheme="majorBidi"/>
          <w:color w:val="000000"/>
          <w:sz w:val="24"/>
          <w:szCs w:val="24"/>
        </w:rPr>
        <w:t>dengan</w:t>
      </w:r>
      <w:proofErr w:type="spellEnd"/>
      <w:r w:rsidRPr="007539CC">
        <w:rPr>
          <w:rFonts w:asciiTheme="majorBidi" w:hAnsiTheme="majorBidi" w:cstheme="majorBidi"/>
          <w:color w:val="000000"/>
          <w:sz w:val="24"/>
          <w:szCs w:val="24"/>
        </w:rPr>
        <w:t xml:space="preserve"> </w:t>
      </w:r>
      <w:proofErr w:type="spellStart"/>
      <w:r w:rsidRPr="007539CC">
        <w:rPr>
          <w:rFonts w:asciiTheme="majorBidi" w:hAnsiTheme="majorBidi" w:cstheme="majorBidi"/>
          <w:color w:val="000000"/>
          <w:sz w:val="24"/>
          <w:szCs w:val="24"/>
        </w:rPr>
        <w:t>penelitian</w:t>
      </w:r>
      <w:proofErr w:type="spellEnd"/>
      <w:r w:rsidRPr="007539CC">
        <w:rPr>
          <w:rFonts w:asciiTheme="majorBidi" w:hAnsiTheme="majorBidi" w:cstheme="majorBidi"/>
          <w:color w:val="000000"/>
          <w:sz w:val="24"/>
          <w:szCs w:val="24"/>
        </w:rPr>
        <w:t xml:space="preserve"> </w:t>
      </w:r>
      <w:proofErr w:type="spellStart"/>
      <w:r w:rsidRPr="007539CC">
        <w:rPr>
          <w:rFonts w:asciiTheme="majorBidi" w:hAnsiTheme="majorBidi" w:cstheme="majorBidi"/>
          <w:color w:val="000000"/>
          <w:sz w:val="24"/>
          <w:szCs w:val="24"/>
        </w:rPr>
        <w:t>ini,untuk</w:t>
      </w:r>
      <w:proofErr w:type="spellEnd"/>
      <w:r w:rsidRPr="007539CC">
        <w:rPr>
          <w:rFonts w:asciiTheme="majorBidi" w:hAnsiTheme="majorBidi" w:cstheme="majorBidi"/>
          <w:color w:val="000000"/>
          <w:sz w:val="24"/>
          <w:szCs w:val="24"/>
        </w:rPr>
        <w:t xml:space="preserve"> </w:t>
      </w:r>
      <w:proofErr w:type="spellStart"/>
      <w:r w:rsidRPr="007539CC">
        <w:rPr>
          <w:rFonts w:asciiTheme="majorBidi" w:hAnsiTheme="majorBidi" w:cstheme="majorBidi"/>
          <w:color w:val="000000"/>
          <w:sz w:val="24"/>
          <w:szCs w:val="24"/>
        </w:rPr>
        <w:t>di</w:t>
      </w:r>
      <w:r w:rsidRPr="007539CC">
        <w:rPr>
          <w:rFonts w:asciiTheme="majorBidi" w:hAnsiTheme="majorBidi" w:cstheme="majorBidi"/>
          <w:sz w:val="24"/>
          <w:szCs w:val="24"/>
        </w:rPr>
        <w:t>jadikan</w:t>
      </w:r>
      <w:proofErr w:type="spellEnd"/>
      <w:r w:rsidRPr="007539CC">
        <w:rPr>
          <w:rFonts w:asciiTheme="majorBidi" w:hAnsiTheme="majorBidi" w:cstheme="majorBidi"/>
          <w:sz w:val="24"/>
          <w:szCs w:val="24"/>
        </w:rPr>
        <w:t xml:space="preserve"> </w:t>
      </w:r>
      <w:proofErr w:type="spellStart"/>
      <w:r w:rsidRPr="007539CC">
        <w:rPr>
          <w:rFonts w:asciiTheme="majorBidi" w:hAnsiTheme="majorBidi" w:cstheme="majorBidi"/>
          <w:sz w:val="24"/>
          <w:szCs w:val="24"/>
        </w:rPr>
        <w:t>sebagai</w:t>
      </w:r>
      <w:proofErr w:type="spellEnd"/>
      <w:r w:rsidRPr="007539CC">
        <w:rPr>
          <w:rFonts w:asciiTheme="majorBidi" w:hAnsiTheme="majorBidi" w:cstheme="majorBidi"/>
          <w:sz w:val="24"/>
          <w:szCs w:val="24"/>
        </w:rPr>
        <w:t xml:space="preserve"> </w:t>
      </w:r>
      <w:proofErr w:type="spellStart"/>
      <w:r w:rsidRPr="007539CC">
        <w:rPr>
          <w:rFonts w:asciiTheme="majorBidi" w:hAnsiTheme="majorBidi" w:cstheme="majorBidi"/>
          <w:sz w:val="24"/>
          <w:szCs w:val="24"/>
        </w:rPr>
        <w:t>bahan</w:t>
      </w:r>
      <w:proofErr w:type="spellEnd"/>
      <w:r w:rsidRPr="007539CC">
        <w:rPr>
          <w:rFonts w:asciiTheme="majorBidi" w:hAnsiTheme="majorBidi" w:cstheme="majorBidi"/>
          <w:sz w:val="24"/>
          <w:szCs w:val="24"/>
        </w:rPr>
        <w:t xml:space="preserve"> </w:t>
      </w:r>
      <w:proofErr w:type="spellStart"/>
      <w:r w:rsidRPr="007539CC">
        <w:rPr>
          <w:rFonts w:asciiTheme="majorBidi" w:hAnsiTheme="majorBidi" w:cstheme="majorBidi"/>
          <w:sz w:val="24"/>
          <w:szCs w:val="24"/>
        </w:rPr>
        <w:t>perbandingan</w:t>
      </w:r>
      <w:proofErr w:type="spellEnd"/>
      <w:r w:rsidRPr="007539CC">
        <w:rPr>
          <w:rFonts w:asciiTheme="majorBidi" w:hAnsiTheme="majorBidi" w:cstheme="majorBidi"/>
          <w:sz w:val="24"/>
          <w:szCs w:val="24"/>
        </w:rPr>
        <w:t xml:space="preserve"> </w:t>
      </w:r>
      <w:proofErr w:type="spellStart"/>
      <w:r w:rsidRPr="007539CC">
        <w:rPr>
          <w:rFonts w:asciiTheme="majorBidi" w:hAnsiTheme="majorBidi" w:cstheme="majorBidi"/>
          <w:sz w:val="24"/>
          <w:szCs w:val="24"/>
        </w:rPr>
        <w:t>dalam</w:t>
      </w:r>
      <w:proofErr w:type="spellEnd"/>
      <w:r w:rsidRPr="007539CC">
        <w:rPr>
          <w:rFonts w:asciiTheme="majorBidi" w:hAnsiTheme="majorBidi" w:cstheme="majorBidi"/>
          <w:sz w:val="24"/>
          <w:szCs w:val="24"/>
        </w:rPr>
        <w:t xml:space="preserve"> </w:t>
      </w:r>
      <w:proofErr w:type="spellStart"/>
      <w:r w:rsidRPr="007539CC">
        <w:rPr>
          <w:rFonts w:asciiTheme="majorBidi" w:hAnsiTheme="majorBidi" w:cstheme="majorBidi"/>
          <w:sz w:val="24"/>
          <w:szCs w:val="24"/>
        </w:rPr>
        <w:t>penulisan</w:t>
      </w:r>
      <w:proofErr w:type="spellEnd"/>
      <w:r w:rsidRPr="007539CC">
        <w:rPr>
          <w:rFonts w:asciiTheme="majorBidi" w:hAnsiTheme="majorBidi" w:cstheme="majorBidi"/>
          <w:sz w:val="24"/>
          <w:szCs w:val="24"/>
        </w:rPr>
        <w:t xml:space="preserve"> </w:t>
      </w:r>
      <w:proofErr w:type="spellStart"/>
      <w:r w:rsidRPr="007539CC">
        <w:rPr>
          <w:rFonts w:asciiTheme="majorBidi" w:hAnsiTheme="majorBidi" w:cstheme="majorBidi"/>
          <w:sz w:val="24"/>
          <w:szCs w:val="24"/>
        </w:rPr>
        <w:t>penelitian</w:t>
      </w:r>
      <w:proofErr w:type="spellEnd"/>
      <w:r w:rsidRPr="007539CC">
        <w:rPr>
          <w:rFonts w:asciiTheme="majorBidi" w:hAnsiTheme="majorBidi" w:cstheme="majorBidi"/>
          <w:sz w:val="24"/>
          <w:szCs w:val="24"/>
        </w:rPr>
        <w:t xml:space="preserve"> </w:t>
      </w:r>
      <w:proofErr w:type="spellStart"/>
      <w:r w:rsidRPr="007539CC">
        <w:rPr>
          <w:rFonts w:asciiTheme="majorBidi" w:hAnsiTheme="majorBidi" w:cstheme="majorBidi"/>
          <w:sz w:val="24"/>
          <w:szCs w:val="24"/>
        </w:rPr>
        <w:t>ini</w:t>
      </w:r>
      <w:proofErr w:type="spellEnd"/>
      <w:r w:rsidRPr="007539CC">
        <w:rPr>
          <w:rFonts w:asciiTheme="majorBidi" w:hAnsiTheme="majorBidi" w:cstheme="majorBidi"/>
          <w:sz w:val="24"/>
          <w:szCs w:val="24"/>
        </w:rPr>
        <w:t xml:space="preserve"> </w:t>
      </w:r>
      <w:proofErr w:type="spellStart"/>
      <w:r w:rsidRPr="007539CC">
        <w:rPr>
          <w:rFonts w:asciiTheme="majorBidi" w:hAnsiTheme="majorBidi" w:cstheme="majorBidi"/>
          <w:sz w:val="24"/>
          <w:szCs w:val="24"/>
        </w:rPr>
        <w:t>yaitu</w:t>
      </w:r>
      <w:proofErr w:type="spellEnd"/>
      <w:r w:rsidRPr="007539CC">
        <w:rPr>
          <w:rFonts w:asciiTheme="majorBidi" w:hAnsiTheme="majorBidi" w:cstheme="majorBidi"/>
          <w:sz w:val="24"/>
          <w:szCs w:val="24"/>
        </w:rPr>
        <w:t>:</w:t>
      </w:r>
    </w:p>
    <w:p w:rsidR="000D4C95" w:rsidRDefault="000D4C95"/>
    <w:p w:rsidR="000D4C95" w:rsidRDefault="000D4C95"/>
    <w:tbl>
      <w:tblPr>
        <w:tblStyle w:val="TableGrid"/>
        <w:tblW w:w="0" w:type="auto"/>
        <w:tblInd w:w="426" w:type="dxa"/>
        <w:tblLook w:val="04A0" w:firstRow="1" w:lastRow="0" w:firstColumn="1" w:lastColumn="0" w:noHBand="0" w:noVBand="1"/>
      </w:tblPr>
      <w:tblGrid>
        <w:gridCol w:w="867"/>
        <w:gridCol w:w="2426"/>
        <w:gridCol w:w="2370"/>
        <w:gridCol w:w="1904"/>
        <w:gridCol w:w="2277"/>
        <w:gridCol w:w="2680"/>
      </w:tblGrid>
      <w:tr w:rsidR="000D4C95" w:rsidRPr="007539CC" w:rsidTr="004630DB">
        <w:trPr>
          <w:cantSplit/>
          <w:trHeight w:val="497"/>
        </w:trPr>
        <w:tc>
          <w:tcPr>
            <w:tcW w:w="562" w:type="dxa"/>
            <w:vAlign w:val="center"/>
          </w:tcPr>
          <w:p w:rsidR="000D4C95" w:rsidRPr="007539CC" w:rsidRDefault="000D4C95" w:rsidP="004630DB">
            <w:pPr>
              <w:spacing w:line="276" w:lineRule="auto"/>
              <w:jc w:val="center"/>
              <w:rPr>
                <w:rFonts w:asciiTheme="majorBidi" w:hAnsiTheme="majorBidi" w:cstheme="majorBidi"/>
                <w:b/>
                <w:bCs/>
                <w:sz w:val="24"/>
                <w:szCs w:val="24"/>
              </w:rPr>
            </w:pPr>
            <w:r w:rsidRPr="007539CC">
              <w:rPr>
                <w:rFonts w:asciiTheme="majorBidi" w:hAnsiTheme="majorBidi" w:cstheme="majorBidi"/>
                <w:b/>
                <w:bCs/>
                <w:sz w:val="24"/>
                <w:szCs w:val="24"/>
              </w:rPr>
              <w:t>No</w:t>
            </w:r>
          </w:p>
        </w:tc>
        <w:tc>
          <w:tcPr>
            <w:tcW w:w="2693" w:type="dxa"/>
            <w:vAlign w:val="center"/>
          </w:tcPr>
          <w:p w:rsidR="000D4C95" w:rsidRPr="007539CC" w:rsidRDefault="000D4C95" w:rsidP="004630DB">
            <w:pPr>
              <w:spacing w:line="276" w:lineRule="auto"/>
              <w:jc w:val="center"/>
              <w:rPr>
                <w:rFonts w:asciiTheme="majorBidi" w:hAnsiTheme="majorBidi" w:cstheme="majorBidi"/>
                <w:b/>
                <w:bCs/>
                <w:sz w:val="24"/>
                <w:szCs w:val="24"/>
              </w:rPr>
            </w:pPr>
            <w:r w:rsidRPr="007539CC">
              <w:rPr>
                <w:rFonts w:asciiTheme="majorBidi" w:hAnsiTheme="majorBidi" w:cstheme="majorBidi"/>
                <w:b/>
                <w:bCs/>
                <w:sz w:val="24"/>
                <w:szCs w:val="24"/>
              </w:rPr>
              <w:t>Peneliti, Tahun, Judul</w:t>
            </w:r>
          </w:p>
        </w:tc>
        <w:tc>
          <w:tcPr>
            <w:tcW w:w="2126" w:type="dxa"/>
            <w:vAlign w:val="center"/>
          </w:tcPr>
          <w:p w:rsidR="000D4C95" w:rsidRPr="007539CC" w:rsidRDefault="000D4C95" w:rsidP="004630DB">
            <w:pPr>
              <w:spacing w:line="276" w:lineRule="auto"/>
              <w:jc w:val="center"/>
              <w:rPr>
                <w:rFonts w:asciiTheme="majorBidi" w:hAnsiTheme="majorBidi" w:cstheme="majorBidi"/>
                <w:b/>
                <w:bCs/>
                <w:sz w:val="24"/>
                <w:szCs w:val="24"/>
              </w:rPr>
            </w:pPr>
            <w:r w:rsidRPr="007539CC">
              <w:rPr>
                <w:rFonts w:asciiTheme="majorBidi" w:hAnsiTheme="majorBidi" w:cstheme="majorBidi"/>
                <w:b/>
                <w:bCs/>
                <w:sz w:val="24"/>
                <w:szCs w:val="24"/>
              </w:rPr>
              <w:t>Tujuan Penelitian</w:t>
            </w:r>
          </w:p>
        </w:tc>
        <w:tc>
          <w:tcPr>
            <w:tcW w:w="1701" w:type="dxa"/>
            <w:vAlign w:val="center"/>
          </w:tcPr>
          <w:p w:rsidR="000D4C95" w:rsidRPr="007539CC" w:rsidRDefault="000D4C95" w:rsidP="004630DB">
            <w:pPr>
              <w:spacing w:line="276" w:lineRule="auto"/>
              <w:jc w:val="center"/>
              <w:rPr>
                <w:rFonts w:asciiTheme="majorBidi" w:hAnsiTheme="majorBidi" w:cstheme="majorBidi"/>
                <w:b/>
                <w:bCs/>
                <w:sz w:val="24"/>
                <w:szCs w:val="24"/>
              </w:rPr>
            </w:pPr>
            <w:r w:rsidRPr="007539CC">
              <w:rPr>
                <w:rFonts w:asciiTheme="majorBidi" w:hAnsiTheme="majorBidi" w:cstheme="majorBidi"/>
                <w:b/>
                <w:bCs/>
                <w:sz w:val="24"/>
                <w:szCs w:val="24"/>
              </w:rPr>
              <w:t>Variabel</w:t>
            </w:r>
          </w:p>
        </w:tc>
        <w:tc>
          <w:tcPr>
            <w:tcW w:w="1843" w:type="dxa"/>
            <w:vAlign w:val="center"/>
          </w:tcPr>
          <w:p w:rsidR="000D4C95" w:rsidRPr="007539CC" w:rsidRDefault="000D4C95" w:rsidP="004630DB">
            <w:pPr>
              <w:spacing w:line="276" w:lineRule="auto"/>
              <w:jc w:val="center"/>
              <w:rPr>
                <w:rFonts w:asciiTheme="majorBidi" w:hAnsiTheme="majorBidi" w:cstheme="majorBidi"/>
                <w:b/>
                <w:bCs/>
                <w:sz w:val="24"/>
                <w:szCs w:val="24"/>
              </w:rPr>
            </w:pPr>
            <w:r w:rsidRPr="007539CC">
              <w:rPr>
                <w:rFonts w:asciiTheme="majorBidi" w:hAnsiTheme="majorBidi" w:cstheme="majorBidi"/>
                <w:b/>
                <w:bCs/>
                <w:sz w:val="24"/>
                <w:szCs w:val="24"/>
              </w:rPr>
              <w:t>Alat Analisis</w:t>
            </w:r>
          </w:p>
        </w:tc>
        <w:tc>
          <w:tcPr>
            <w:tcW w:w="4173" w:type="dxa"/>
            <w:vAlign w:val="center"/>
          </w:tcPr>
          <w:p w:rsidR="000D4C95" w:rsidRPr="007539CC" w:rsidRDefault="000D4C95" w:rsidP="004630DB">
            <w:pPr>
              <w:spacing w:line="276" w:lineRule="auto"/>
              <w:jc w:val="center"/>
              <w:rPr>
                <w:rFonts w:asciiTheme="majorBidi" w:hAnsiTheme="majorBidi" w:cstheme="majorBidi"/>
                <w:b/>
                <w:bCs/>
                <w:sz w:val="24"/>
                <w:szCs w:val="24"/>
              </w:rPr>
            </w:pPr>
            <w:r w:rsidRPr="007539CC">
              <w:rPr>
                <w:rFonts w:asciiTheme="majorBidi" w:hAnsiTheme="majorBidi" w:cstheme="majorBidi"/>
                <w:b/>
                <w:bCs/>
                <w:sz w:val="24"/>
                <w:szCs w:val="24"/>
              </w:rPr>
              <w:t>Hasil Penelitian</w:t>
            </w:r>
          </w:p>
        </w:tc>
      </w:tr>
      <w:tr w:rsidR="000D4C95" w:rsidRPr="000D4C95" w:rsidTr="004630DB">
        <w:tc>
          <w:tcPr>
            <w:tcW w:w="562" w:type="dxa"/>
          </w:tcPr>
          <w:p w:rsidR="000D4C95" w:rsidRPr="007539CC" w:rsidRDefault="000D4C95" w:rsidP="004630DB">
            <w:pPr>
              <w:spacing w:line="276" w:lineRule="auto"/>
              <w:rPr>
                <w:rFonts w:asciiTheme="majorBidi" w:hAnsiTheme="majorBidi" w:cstheme="majorBidi"/>
                <w:sz w:val="24"/>
                <w:szCs w:val="24"/>
              </w:rPr>
            </w:pPr>
            <w:r w:rsidRPr="007539CC">
              <w:rPr>
                <w:rFonts w:asciiTheme="majorBidi" w:hAnsiTheme="majorBidi" w:cstheme="majorBidi"/>
                <w:sz w:val="24"/>
                <w:szCs w:val="24"/>
              </w:rPr>
              <w:t>1.</w:t>
            </w:r>
          </w:p>
        </w:tc>
        <w:tc>
          <w:tcPr>
            <w:tcW w:w="2693" w:type="dxa"/>
          </w:tcPr>
          <w:p w:rsidR="000D4C95" w:rsidRPr="007539CC" w:rsidRDefault="000D4C95" w:rsidP="004630DB">
            <w:pPr>
              <w:spacing w:line="276" w:lineRule="auto"/>
              <w:rPr>
                <w:rFonts w:asciiTheme="majorBidi" w:hAnsiTheme="majorBidi" w:cstheme="majorBidi"/>
                <w:sz w:val="24"/>
                <w:szCs w:val="24"/>
              </w:rPr>
            </w:pPr>
            <w:r w:rsidRPr="007539CC">
              <w:rPr>
                <w:rFonts w:asciiTheme="majorBidi" w:hAnsiTheme="majorBidi" w:cstheme="majorBidi"/>
                <w:sz w:val="24"/>
                <w:szCs w:val="24"/>
              </w:rPr>
              <w:t>Yosi Azizah (2015) Analisis Faktor Spesifik yang mempengaruhi Harga Obligasi Negara di Bursa Efek Indonesia</w:t>
            </w:r>
          </w:p>
        </w:tc>
        <w:tc>
          <w:tcPr>
            <w:tcW w:w="2126" w:type="dxa"/>
          </w:tcPr>
          <w:p w:rsidR="000D4C95" w:rsidRPr="007539CC" w:rsidRDefault="000D4C95" w:rsidP="004630DB">
            <w:pPr>
              <w:autoSpaceDE w:val="0"/>
              <w:autoSpaceDN w:val="0"/>
              <w:adjustRightInd w:val="0"/>
              <w:spacing w:before="240" w:line="276" w:lineRule="auto"/>
              <w:jc w:val="both"/>
              <w:rPr>
                <w:rFonts w:asciiTheme="majorBidi" w:hAnsiTheme="majorBidi" w:cstheme="majorBidi"/>
                <w:sz w:val="24"/>
                <w:szCs w:val="24"/>
              </w:rPr>
            </w:pPr>
            <w:r w:rsidRPr="007539CC">
              <w:rPr>
                <w:rFonts w:asciiTheme="majorBidi" w:hAnsiTheme="majorBidi" w:cstheme="majorBidi"/>
                <w:sz w:val="24"/>
                <w:szCs w:val="24"/>
              </w:rPr>
              <w:t>Mengetahui faktor-faktor yang mempengaruhi harga obligasi. variabel independen pada penelitian ini tingkat suku bunga SBI, Likuiditas, Rating, Coupon, Maturity dan variabel dependen Harga Obligasi</w:t>
            </w:r>
          </w:p>
        </w:tc>
        <w:tc>
          <w:tcPr>
            <w:tcW w:w="1701" w:type="dxa"/>
          </w:tcPr>
          <w:p w:rsidR="000D4C95" w:rsidRPr="007539CC" w:rsidRDefault="000D4C95" w:rsidP="004630DB">
            <w:pPr>
              <w:autoSpaceDE w:val="0"/>
              <w:autoSpaceDN w:val="0"/>
              <w:adjustRightInd w:val="0"/>
              <w:spacing w:before="240" w:line="276" w:lineRule="auto"/>
              <w:jc w:val="both"/>
              <w:rPr>
                <w:rFonts w:asciiTheme="majorBidi" w:hAnsiTheme="majorBidi" w:cstheme="majorBidi"/>
                <w:sz w:val="24"/>
                <w:szCs w:val="24"/>
              </w:rPr>
            </w:pPr>
            <w:r w:rsidRPr="007539CC">
              <w:rPr>
                <w:rFonts w:asciiTheme="majorBidi" w:hAnsiTheme="majorBidi" w:cstheme="majorBidi"/>
                <w:sz w:val="24"/>
                <w:szCs w:val="24"/>
              </w:rPr>
              <w:t>X1 = Tingkat Suku Bunga</w:t>
            </w:r>
          </w:p>
          <w:p w:rsidR="000D4C95" w:rsidRPr="007539CC" w:rsidRDefault="000D4C95" w:rsidP="004630DB">
            <w:pPr>
              <w:autoSpaceDE w:val="0"/>
              <w:autoSpaceDN w:val="0"/>
              <w:adjustRightInd w:val="0"/>
              <w:spacing w:before="240" w:line="276" w:lineRule="auto"/>
              <w:jc w:val="both"/>
              <w:rPr>
                <w:rFonts w:asciiTheme="majorBidi" w:hAnsiTheme="majorBidi" w:cstheme="majorBidi"/>
                <w:sz w:val="24"/>
                <w:szCs w:val="24"/>
              </w:rPr>
            </w:pPr>
            <w:r w:rsidRPr="007539CC">
              <w:rPr>
                <w:rFonts w:asciiTheme="majorBidi" w:hAnsiTheme="majorBidi" w:cstheme="majorBidi"/>
                <w:sz w:val="24"/>
                <w:szCs w:val="24"/>
              </w:rPr>
              <w:t>X2 = Likuiditas Obligasi</w:t>
            </w:r>
          </w:p>
          <w:p w:rsidR="000D4C95" w:rsidRPr="007539CC" w:rsidRDefault="000D4C95" w:rsidP="004630DB">
            <w:pPr>
              <w:autoSpaceDE w:val="0"/>
              <w:autoSpaceDN w:val="0"/>
              <w:adjustRightInd w:val="0"/>
              <w:spacing w:before="240" w:line="276" w:lineRule="auto"/>
              <w:jc w:val="both"/>
              <w:rPr>
                <w:rFonts w:asciiTheme="majorBidi" w:hAnsiTheme="majorBidi" w:cstheme="majorBidi"/>
                <w:sz w:val="24"/>
                <w:szCs w:val="24"/>
              </w:rPr>
            </w:pPr>
            <w:r w:rsidRPr="007539CC">
              <w:rPr>
                <w:rFonts w:asciiTheme="majorBidi" w:hAnsiTheme="majorBidi" w:cstheme="majorBidi"/>
                <w:sz w:val="24"/>
                <w:szCs w:val="24"/>
              </w:rPr>
              <w:t>X3 = Maturity</w:t>
            </w:r>
          </w:p>
          <w:p w:rsidR="000D4C95" w:rsidRPr="007539CC" w:rsidRDefault="000D4C95" w:rsidP="004630DB">
            <w:pPr>
              <w:autoSpaceDE w:val="0"/>
              <w:autoSpaceDN w:val="0"/>
              <w:adjustRightInd w:val="0"/>
              <w:spacing w:before="240" w:line="276" w:lineRule="auto"/>
              <w:jc w:val="both"/>
              <w:rPr>
                <w:rFonts w:asciiTheme="majorBidi" w:hAnsiTheme="majorBidi" w:cstheme="majorBidi"/>
                <w:sz w:val="24"/>
                <w:szCs w:val="24"/>
              </w:rPr>
            </w:pPr>
            <w:r w:rsidRPr="007539CC">
              <w:rPr>
                <w:rFonts w:asciiTheme="majorBidi" w:hAnsiTheme="majorBidi" w:cstheme="majorBidi"/>
                <w:sz w:val="24"/>
                <w:szCs w:val="24"/>
              </w:rPr>
              <w:t>X4 = Kupon</w:t>
            </w:r>
          </w:p>
          <w:p w:rsidR="000D4C95" w:rsidRPr="007539CC" w:rsidRDefault="000D4C95" w:rsidP="004630DB">
            <w:pPr>
              <w:spacing w:line="276" w:lineRule="auto"/>
              <w:rPr>
                <w:rFonts w:asciiTheme="majorBidi" w:hAnsiTheme="majorBidi" w:cstheme="majorBidi"/>
                <w:sz w:val="24"/>
                <w:szCs w:val="24"/>
              </w:rPr>
            </w:pPr>
            <w:r w:rsidRPr="007539CC">
              <w:rPr>
                <w:rFonts w:asciiTheme="majorBidi" w:hAnsiTheme="majorBidi" w:cstheme="majorBidi"/>
                <w:sz w:val="24"/>
                <w:szCs w:val="24"/>
              </w:rPr>
              <w:t>Y = Harga Obligasi</w:t>
            </w:r>
          </w:p>
        </w:tc>
        <w:tc>
          <w:tcPr>
            <w:tcW w:w="1843" w:type="dxa"/>
          </w:tcPr>
          <w:p w:rsidR="000D4C95" w:rsidRPr="007539CC" w:rsidRDefault="000D4C95" w:rsidP="004630DB">
            <w:pPr>
              <w:spacing w:line="276" w:lineRule="auto"/>
              <w:rPr>
                <w:rFonts w:asciiTheme="majorBidi" w:hAnsiTheme="majorBidi" w:cstheme="majorBidi"/>
                <w:sz w:val="24"/>
                <w:szCs w:val="24"/>
              </w:rPr>
            </w:pPr>
            <w:r w:rsidRPr="007539CC">
              <w:rPr>
                <w:rFonts w:asciiTheme="majorBidi" w:hAnsiTheme="majorBidi" w:cstheme="majorBidi"/>
                <w:sz w:val="24"/>
                <w:szCs w:val="24"/>
              </w:rPr>
              <w:t>Teknik analisis dilakukan dengan menggunakan teknik analisis regresi berganda untuk mengelola dan membahas data yang telah diperoleh.</w:t>
            </w:r>
          </w:p>
        </w:tc>
        <w:tc>
          <w:tcPr>
            <w:tcW w:w="4173" w:type="dxa"/>
          </w:tcPr>
          <w:p w:rsidR="000D4C95" w:rsidRPr="007539CC" w:rsidRDefault="000D4C95" w:rsidP="000D4C95">
            <w:pPr>
              <w:pStyle w:val="ListParagraph"/>
              <w:numPr>
                <w:ilvl w:val="0"/>
                <w:numId w:val="1"/>
              </w:numPr>
              <w:autoSpaceDE w:val="0"/>
              <w:autoSpaceDN w:val="0"/>
              <w:adjustRightInd w:val="0"/>
              <w:spacing w:before="240" w:after="0" w:line="240" w:lineRule="auto"/>
              <w:ind w:left="318" w:hanging="284"/>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Variabel bebas suku bunga SBI (Sertifikat Bank Indonesia) memiliki pengaruh yang signifikan dan negatif antara variabel SBI terhadap harga obligasi pada tingkat signifikansi 5%. Hal ini menunjukkan bahwa apabila Suku Bunga SBI tinggi maka harga obligasi akan turun, dan jika suku buga SBI rendah maka harga obligasi akan naik.</w:t>
            </w:r>
          </w:p>
          <w:p w:rsidR="000D4C95" w:rsidRPr="007539CC" w:rsidRDefault="000D4C95" w:rsidP="004630DB">
            <w:pPr>
              <w:pStyle w:val="ListParagraph"/>
              <w:autoSpaceDE w:val="0"/>
              <w:autoSpaceDN w:val="0"/>
              <w:adjustRightInd w:val="0"/>
              <w:spacing w:before="240"/>
              <w:ind w:left="318"/>
              <w:jc w:val="both"/>
              <w:rPr>
                <w:rFonts w:asciiTheme="majorBidi" w:eastAsiaTheme="minorHAnsi" w:hAnsiTheme="majorBidi" w:cstheme="majorBidi"/>
                <w:sz w:val="24"/>
                <w:szCs w:val="24"/>
              </w:rPr>
            </w:pPr>
          </w:p>
          <w:p w:rsidR="000D4C95" w:rsidRPr="007539CC" w:rsidRDefault="000D4C95" w:rsidP="000D4C95">
            <w:pPr>
              <w:pStyle w:val="ListParagraph"/>
              <w:numPr>
                <w:ilvl w:val="0"/>
                <w:numId w:val="1"/>
              </w:numPr>
              <w:autoSpaceDE w:val="0"/>
              <w:autoSpaceDN w:val="0"/>
              <w:adjustRightInd w:val="0"/>
              <w:spacing w:before="240" w:after="0" w:line="240" w:lineRule="auto"/>
              <w:ind w:left="318" w:hanging="284"/>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 xml:space="preserve">Variabel bebas Likuiditas tidak memiliki pengaruh yang signifikan dan </w:t>
            </w:r>
            <w:r w:rsidRPr="007539CC">
              <w:rPr>
                <w:rFonts w:asciiTheme="majorBidi" w:eastAsiaTheme="minorHAnsi" w:hAnsiTheme="majorBidi" w:cstheme="majorBidi"/>
                <w:sz w:val="24"/>
                <w:szCs w:val="24"/>
              </w:rPr>
              <w:lastRenderedPageBreak/>
              <w:t>positif antara variabel likuiditas terhadap harga obligasi pada tingkat signifikansi 5%. Hal ini menunjukkan bahwa likuiditas obligasi tidak memiliki pengaruh terhadap harga obligasi.</w:t>
            </w:r>
          </w:p>
          <w:p w:rsidR="000D4C95" w:rsidRPr="007539CC" w:rsidRDefault="000D4C95" w:rsidP="000D4C95">
            <w:pPr>
              <w:pStyle w:val="ListParagraph"/>
              <w:numPr>
                <w:ilvl w:val="0"/>
                <w:numId w:val="1"/>
              </w:numPr>
              <w:autoSpaceDE w:val="0"/>
              <w:autoSpaceDN w:val="0"/>
              <w:adjustRightInd w:val="0"/>
              <w:spacing w:before="240" w:after="0" w:line="240" w:lineRule="auto"/>
              <w:ind w:left="318" w:hanging="284"/>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Variabel bebas Kupon memiliki pengaruh yang signifikan dan positif antara variabel kupon terhadap harga obligasi pada tingkat signifikansi 5%. Hal ini menunjukkan bahwa semakin tinggi tingkat kupon yang diberikan, maka harga obligasi akan semakin tinggi juga.</w:t>
            </w:r>
          </w:p>
          <w:p w:rsidR="000D4C95" w:rsidRPr="007539CC" w:rsidRDefault="000D4C95" w:rsidP="004630DB">
            <w:pPr>
              <w:pStyle w:val="ListParagraph"/>
              <w:autoSpaceDE w:val="0"/>
              <w:autoSpaceDN w:val="0"/>
              <w:adjustRightInd w:val="0"/>
              <w:spacing w:before="240"/>
              <w:ind w:left="318"/>
              <w:jc w:val="both"/>
              <w:rPr>
                <w:rFonts w:asciiTheme="majorBidi" w:eastAsiaTheme="minorHAnsi" w:hAnsiTheme="majorBidi" w:cstheme="majorBidi"/>
                <w:sz w:val="24"/>
                <w:szCs w:val="24"/>
              </w:rPr>
            </w:pPr>
          </w:p>
          <w:p w:rsidR="000D4C95" w:rsidRPr="007539CC" w:rsidRDefault="000D4C95" w:rsidP="000D4C95">
            <w:pPr>
              <w:pStyle w:val="ListParagraph"/>
              <w:numPr>
                <w:ilvl w:val="0"/>
                <w:numId w:val="1"/>
              </w:numPr>
              <w:autoSpaceDE w:val="0"/>
              <w:autoSpaceDN w:val="0"/>
              <w:adjustRightInd w:val="0"/>
              <w:spacing w:before="240" w:after="0" w:line="240" w:lineRule="auto"/>
              <w:ind w:left="318" w:hanging="284"/>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 xml:space="preserve">Variabel bebas </w:t>
            </w:r>
            <w:r w:rsidRPr="007539CC">
              <w:rPr>
                <w:rFonts w:asciiTheme="majorBidi" w:eastAsiaTheme="minorHAnsi" w:hAnsiTheme="majorBidi" w:cstheme="majorBidi"/>
                <w:i/>
                <w:iCs/>
                <w:sz w:val="24"/>
                <w:szCs w:val="24"/>
              </w:rPr>
              <w:t xml:space="preserve">Maturity </w:t>
            </w:r>
            <w:r w:rsidRPr="007539CC">
              <w:rPr>
                <w:rFonts w:asciiTheme="majorBidi" w:eastAsiaTheme="minorHAnsi" w:hAnsiTheme="majorBidi" w:cstheme="majorBidi"/>
                <w:sz w:val="24"/>
                <w:szCs w:val="24"/>
              </w:rPr>
              <w:t xml:space="preserve">memiliki pengaruh yang signifikan dan positif antara variabel maturity terhadap harga obligasi pada tingkat signifikansi 5%. Hal ini </w:t>
            </w:r>
            <w:r w:rsidRPr="007539CC">
              <w:rPr>
                <w:rFonts w:asciiTheme="majorBidi" w:eastAsiaTheme="minorHAnsi" w:hAnsiTheme="majorBidi" w:cstheme="majorBidi"/>
                <w:sz w:val="24"/>
                <w:szCs w:val="24"/>
              </w:rPr>
              <w:lastRenderedPageBreak/>
              <w:t xml:space="preserve">menunjukkan bahwa </w:t>
            </w:r>
            <w:r w:rsidRPr="007539CC">
              <w:rPr>
                <w:rFonts w:asciiTheme="majorBidi" w:eastAsiaTheme="minorHAnsi" w:hAnsiTheme="majorBidi" w:cstheme="majorBidi"/>
                <w:i/>
                <w:iCs/>
                <w:sz w:val="24"/>
                <w:szCs w:val="24"/>
              </w:rPr>
              <w:t xml:space="preserve">maturity </w:t>
            </w:r>
            <w:r w:rsidRPr="007539CC">
              <w:rPr>
                <w:rFonts w:asciiTheme="majorBidi" w:eastAsiaTheme="minorHAnsi" w:hAnsiTheme="majorBidi" w:cstheme="majorBidi"/>
                <w:sz w:val="24"/>
                <w:szCs w:val="24"/>
              </w:rPr>
              <w:t>suatu oblgasi berpengaruh secara signifikan terhadap harga obligasi, sehingga jika jangka waktu tempo suatu obligasi semakin panjang (sisa umur obligasi) maka harga obligasi juga akan meningkat.</w:t>
            </w:r>
          </w:p>
        </w:tc>
      </w:tr>
      <w:tr w:rsidR="000D4C95" w:rsidRPr="000D4C95" w:rsidTr="004630DB">
        <w:tc>
          <w:tcPr>
            <w:tcW w:w="562" w:type="dxa"/>
          </w:tcPr>
          <w:p w:rsidR="000D4C95" w:rsidRPr="007539CC" w:rsidRDefault="000D4C95" w:rsidP="004630DB">
            <w:pPr>
              <w:spacing w:line="276" w:lineRule="auto"/>
              <w:rPr>
                <w:rFonts w:asciiTheme="majorBidi" w:hAnsiTheme="majorBidi" w:cstheme="majorBidi"/>
                <w:sz w:val="24"/>
                <w:szCs w:val="24"/>
              </w:rPr>
            </w:pPr>
            <w:r w:rsidRPr="007539CC">
              <w:rPr>
                <w:rFonts w:asciiTheme="majorBidi" w:hAnsiTheme="majorBidi" w:cstheme="majorBidi"/>
                <w:sz w:val="24"/>
                <w:szCs w:val="24"/>
              </w:rPr>
              <w:lastRenderedPageBreak/>
              <w:t>2.</w:t>
            </w:r>
          </w:p>
        </w:tc>
        <w:tc>
          <w:tcPr>
            <w:tcW w:w="2693" w:type="dxa"/>
          </w:tcPr>
          <w:p w:rsidR="000D4C95" w:rsidRPr="007539CC" w:rsidRDefault="000D4C95" w:rsidP="004630DB">
            <w:pPr>
              <w:autoSpaceDE w:val="0"/>
              <w:autoSpaceDN w:val="0"/>
              <w:adjustRightInd w:val="0"/>
              <w:spacing w:before="240" w:line="276" w:lineRule="auto"/>
              <w:jc w:val="both"/>
              <w:rPr>
                <w:rFonts w:asciiTheme="majorBidi" w:hAnsiTheme="majorBidi" w:cstheme="majorBidi"/>
                <w:sz w:val="24"/>
                <w:szCs w:val="24"/>
              </w:rPr>
            </w:pPr>
            <w:r w:rsidRPr="007539CC">
              <w:rPr>
                <w:rFonts w:asciiTheme="majorBidi" w:hAnsiTheme="majorBidi" w:cstheme="majorBidi"/>
                <w:sz w:val="24"/>
                <w:szCs w:val="24"/>
              </w:rPr>
              <w:t>Hary S Sundoro (2018) Pengaruh Faktor Makro Ekonomi, Faktor Likuiditas, dan Faktor Eksternal terhadp Yield Obligasi Pemerintah.</w:t>
            </w:r>
          </w:p>
        </w:tc>
        <w:tc>
          <w:tcPr>
            <w:tcW w:w="2126" w:type="dxa"/>
          </w:tcPr>
          <w:p w:rsidR="000D4C95" w:rsidRPr="007539CC" w:rsidRDefault="000D4C95" w:rsidP="000D4C95">
            <w:pPr>
              <w:pStyle w:val="ListParagraph"/>
              <w:numPr>
                <w:ilvl w:val="0"/>
                <w:numId w:val="1"/>
              </w:numPr>
              <w:autoSpaceDE w:val="0"/>
              <w:autoSpaceDN w:val="0"/>
              <w:adjustRightInd w:val="0"/>
              <w:spacing w:before="240" w:after="0" w:line="240" w:lineRule="auto"/>
              <w:ind w:left="175" w:hanging="175"/>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 xml:space="preserve">Untuk meramalkan pengaruh faktor makro konomi (terdiri dari: tingkat bunga BI, inflasi, jumlah uang beredar dan IHSG) terhadap </w:t>
            </w:r>
            <w:r w:rsidRPr="007539CC">
              <w:rPr>
                <w:rFonts w:asciiTheme="majorBidi" w:eastAsiaTheme="minorHAnsi" w:hAnsiTheme="majorBidi" w:cstheme="majorBidi"/>
                <w:i/>
                <w:iCs/>
                <w:sz w:val="24"/>
                <w:szCs w:val="24"/>
              </w:rPr>
              <w:t xml:space="preserve">yield </w:t>
            </w:r>
            <w:r w:rsidRPr="007539CC">
              <w:rPr>
                <w:rFonts w:asciiTheme="majorBidi" w:eastAsiaTheme="minorHAnsi" w:hAnsiTheme="majorBidi" w:cstheme="majorBidi"/>
                <w:sz w:val="24"/>
                <w:szCs w:val="24"/>
              </w:rPr>
              <w:t>obligasi pemerintah Indonesia dari Januari 2012 sampai dengan Juli 2016</w:t>
            </w:r>
          </w:p>
          <w:p w:rsidR="000D4C95" w:rsidRPr="007539CC" w:rsidRDefault="000D4C95" w:rsidP="004630DB">
            <w:pPr>
              <w:pStyle w:val="ListParagraph"/>
              <w:autoSpaceDE w:val="0"/>
              <w:autoSpaceDN w:val="0"/>
              <w:adjustRightInd w:val="0"/>
              <w:ind w:left="175"/>
              <w:jc w:val="both"/>
              <w:rPr>
                <w:rFonts w:asciiTheme="majorBidi" w:eastAsiaTheme="minorHAnsi" w:hAnsiTheme="majorBidi" w:cstheme="majorBidi"/>
                <w:sz w:val="24"/>
                <w:szCs w:val="24"/>
              </w:rPr>
            </w:pPr>
          </w:p>
          <w:p w:rsidR="000D4C95" w:rsidRPr="007539CC" w:rsidRDefault="000D4C95" w:rsidP="000D4C95">
            <w:pPr>
              <w:pStyle w:val="ListParagraph"/>
              <w:numPr>
                <w:ilvl w:val="0"/>
                <w:numId w:val="1"/>
              </w:numPr>
              <w:autoSpaceDE w:val="0"/>
              <w:autoSpaceDN w:val="0"/>
              <w:adjustRightInd w:val="0"/>
              <w:spacing w:after="0" w:line="240" w:lineRule="auto"/>
              <w:ind w:left="175" w:hanging="175"/>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 xml:space="preserve">Untuk meramalkan pengaruh faktor likuiditas (terdiri dari cadangan devisa) terhadap </w:t>
            </w:r>
            <w:r w:rsidRPr="007539CC">
              <w:rPr>
                <w:rFonts w:asciiTheme="majorBidi" w:eastAsiaTheme="minorHAnsi" w:hAnsiTheme="majorBidi" w:cstheme="majorBidi"/>
                <w:i/>
                <w:iCs/>
                <w:sz w:val="24"/>
                <w:szCs w:val="24"/>
              </w:rPr>
              <w:t xml:space="preserve">yield </w:t>
            </w:r>
            <w:r w:rsidRPr="007539CC">
              <w:rPr>
                <w:rFonts w:asciiTheme="majorBidi" w:eastAsiaTheme="minorHAnsi" w:hAnsiTheme="majorBidi" w:cstheme="majorBidi"/>
                <w:sz w:val="24"/>
                <w:szCs w:val="24"/>
              </w:rPr>
              <w:t xml:space="preserve">obligasi pemerintah </w:t>
            </w:r>
            <w:r w:rsidRPr="007539CC">
              <w:rPr>
                <w:rFonts w:asciiTheme="majorBidi" w:eastAsiaTheme="minorHAnsi" w:hAnsiTheme="majorBidi" w:cstheme="majorBidi"/>
                <w:sz w:val="24"/>
                <w:szCs w:val="24"/>
              </w:rPr>
              <w:lastRenderedPageBreak/>
              <w:t>Indonesia dari Januari 2012 sampai dengan Juli 2016</w:t>
            </w:r>
          </w:p>
          <w:p w:rsidR="000D4C95" w:rsidRPr="007539CC" w:rsidRDefault="000D4C95" w:rsidP="004630DB">
            <w:pPr>
              <w:pStyle w:val="ListParagraph"/>
              <w:autoSpaceDE w:val="0"/>
              <w:autoSpaceDN w:val="0"/>
              <w:adjustRightInd w:val="0"/>
              <w:ind w:left="175"/>
              <w:jc w:val="both"/>
              <w:rPr>
                <w:rFonts w:asciiTheme="majorBidi" w:eastAsiaTheme="minorHAnsi" w:hAnsiTheme="majorBidi" w:cstheme="majorBidi"/>
                <w:sz w:val="24"/>
                <w:szCs w:val="24"/>
              </w:rPr>
            </w:pPr>
          </w:p>
          <w:p w:rsidR="000D4C95" w:rsidRPr="007539CC" w:rsidRDefault="000D4C95" w:rsidP="000D4C95">
            <w:pPr>
              <w:pStyle w:val="ListParagraph"/>
              <w:numPr>
                <w:ilvl w:val="0"/>
                <w:numId w:val="1"/>
              </w:numPr>
              <w:autoSpaceDE w:val="0"/>
              <w:autoSpaceDN w:val="0"/>
              <w:adjustRightInd w:val="0"/>
              <w:spacing w:after="0" w:line="240" w:lineRule="auto"/>
              <w:ind w:left="175" w:hanging="175"/>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 xml:space="preserve">Untuk meramalkan pengaruh faktor eksternal (terdiri dari tingkat bunga acuan di Eropa) terhadap </w:t>
            </w:r>
            <w:r w:rsidRPr="007539CC">
              <w:rPr>
                <w:rFonts w:asciiTheme="majorBidi" w:eastAsiaTheme="minorHAnsi" w:hAnsiTheme="majorBidi" w:cstheme="majorBidi"/>
                <w:i/>
                <w:iCs/>
                <w:sz w:val="24"/>
                <w:szCs w:val="24"/>
              </w:rPr>
              <w:t xml:space="preserve">yield </w:t>
            </w:r>
            <w:r w:rsidRPr="007539CC">
              <w:rPr>
                <w:rFonts w:asciiTheme="majorBidi" w:eastAsiaTheme="minorHAnsi" w:hAnsiTheme="majorBidi" w:cstheme="majorBidi"/>
                <w:sz w:val="24"/>
                <w:szCs w:val="24"/>
              </w:rPr>
              <w:t>obligasi pemerintah Indonesia dari Januari 2012 sampaidengan Juli 2016</w:t>
            </w:r>
          </w:p>
        </w:tc>
        <w:tc>
          <w:tcPr>
            <w:tcW w:w="1701" w:type="dxa"/>
          </w:tcPr>
          <w:p w:rsidR="000D4C95" w:rsidRPr="007539CC" w:rsidRDefault="000D4C95" w:rsidP="004630DB">
            <w:pPr>
              <w:autoSpaceDE w:val="0"/>
              <w:autoSpaceDN w:val="0"/>
              <w:adjustRightInd w:val="0"/>
              <w:spacing w:before="240" w:line="276" w:lineRule="auto"/>
              <w:jc w:val="both"/>
              <w:rPr>
                <w:rFonts w:asciiTheme="majorBidi" w:hAnsiTheme="majorBidi" w:cstheme="majorBidi"/>
                <w:sz w:val="24"/>
                <w:szCs w:val="24"/>
              </w:rPr>
            </w:pPr>
            <w:r w:rsidRPr="007539CC">
              <w:rPr>
                <w:rFonts w:asciiTheme="majorBidi" w:hAnsiTheme="majorBidi" w:cstheme="majorBidi"/>
                <w:sz w:val="24"/>
                <w:szCs w:val="24"/>
              </w:rPr>
              <w:lastRenderedPageBreak/>
              <w:t>Faktor Makro Ekonomi (X1)</w:t>
            </w:r>
          </w:p>
          <w:p w:rsidR="000D4C95" w:rsidRPr="007539CC" w:rsidRDefault="000D4C95" w:rsidP="000D4C95">
            <w:pPr>
              <w:pStyle w:val="ListParagraph"/>
              <w:numPr>
                <w:ilvl w:val="0"/>
                <w:numId w:val="2"/>
              </w:numPr>
              <w:autoSpaceDE w:val="0"/>
              <w:autoSpaceDN w:val="0"/>
              <w:adjustRightInd w:val="0"/>
              <w:spacing w:before="240" w:after="0" w:line="240" w:lineRule="auto"/>
              <w:ind w:left="175" w:hanging="142"/>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BI Rate</w:t>
            </w:r>
          </w:p>
          <w:p w:rsidR="000D4C95" w:rsidRPr="007539CC" w:rsidRDefault="000D4C95" w:rsidP="000D4C95">
            <w:pPr>
              <w:pStyle w:val="ListParagraph"/>
              <w:numPr>
                <w:ilvl w:val="0"/>
                <w:numId w:val="2"/>
              </w:numPr>
              <w:autoSpaceDE w:val="0"/>
              <w:autoSpaceDN w:val="0"/>
              <w:adjustRightInd w:val="0"/>
              <w:spacing w:before="240" w:after="0" w:line="240" w:lineRule="auto"/>
              <w:ind w:left="175" w:hanging="142"/>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Inflasi</w:t>
            </w:r>
          </w:p>
          <w:p w:rsidR="000D4C95" w:rsidRPr="007539CC" w:rsidRDefault="000D4C95" w:rsidP="000D4C95">
            <w:pPr>
              <w:pStyle w:val="ListParagraph"/>
              <w:numPr>
                <w:ilvl w:val="0"/>
                <w:numId w:val="2"/>
              </w:numPr>
              <w:autoSpaceDE w:val="0"/>
              <w:autoSpaceDN w:val="0"/>
              <w:adjustRightInd w:val="0"/>
              <w:spacing w:before="240" w:after="0" w:line="240" w:lineRule="auto"/>
              <w:ind w:left="175" w:hanging="142"/>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Jumlah Uang Beredar</w:t>
            </w:r>
          </w:p>
          <w:p w:rsidR="000D4C95" w:rsidRPr="007539CC" w:rsidRDefault="000D4C95" w:rsidP="000D4C95">
            <w:pPr>
              <w:pStyle w:val="ListParagraph"/>
              <w:numPr>
                <w:ilvl w:val="0"/>
                <w:numId w:val="2"/>
              </w:numPr>
              <w:autoSpaceDE w:val="0"/>
              <w:autoSpaceDN w:val="0"/>
              <w:adjustRightInd w:val="0"/>
              <w:spacing w:before="240" w:after="0" w:line="240" w:lineRule="auto"/>
              <w:ind w:left="175" w:hanging="142"/>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IHSG (Indeks Harga Saham Gabungan)</w:t>
            </w:r>
          </w:p>
          <w:p w:rsidR="000D4C95" w:rsidRPr="007539CC" w:rsidRDefault="000D4C95" w:rsidP="004630DB">
            <w:pPr>
              <w:autoSpaceDE w:val="0"/>
              <w:autoSpaceDN w:val="0"/>
              <w:adjustRightInd w:val="0"/>
              <w:spacing w:before="240" w:line="276" w:lineRule="auto"/>
              <w:jc w:val="both"/>
              <w:rPr>
                <w:rFonts w:asciiTheme="majorBidi" w:hAnsiTheme="majorBidi" w:cstheme="majorBidi"/>
                <w:sz w:val="24"/>
                <w:szCs w:val="24"/>
              </w:rPr>
            </w:pPr>
            <w:r w:rsidRPr="007539CC">
              <w:rPr>
                <w:rFonts w:asciiTheme="majorBidi" w:hAnsiTheme="majorBidi" w:cstheme="majorBidi"/>
                <w:sz w:val="24"/>
                <w:szCs w:val="24"/>
              </w:rPr>
              <w:t>Faktor Eksternal Luar Negeri (X2)</w:t>
            </w:r>
          </w:p>
          <w:p w:rsidR="000D4C95" w:rsidRPr="007539CC" w:rsidRDefault="000D4C95" w:rsidP="004630DB">
            <w:pPr>
              <w:pStyle w:val="ListParagraph"/>
              <w:jc w:val="both"/>
              <w:rPr>
                <w:rFonts w:asciiTheme="majorBidi" w:eastAsiaTheme="minorHAnsi" w:hAnsiTheme="majorBidi" w:cstheme="majorBidi"/>
                <w:sz w:val="24"/>
                <w:szCs w:val="24"/>
              </w:rPr>
            </w:pPr>
          </w:p>
          <w:p w:rsidR="000D4C95" w:rsidRPr="007539CC" w:rsidRDefault="000D4C95" w:rsidP="000D4C95">
            <w:pPr>
              <w:pStyle w:val="ListParagraph"/>
              <w:numPr>
                <w:ilvl w:val="0"/>
                <w:numId w:val="2"/>
              </w:numPr>
              <w:autoSpaceDE w:val="0"/>
              <w:autoSpaceDN w:val="0"/>
              <w:adjustRightInd w:val="0"/>
              <w:spacing w:before="240" w:after="0" w:line="240" w:lineRule="auto"/>
              <w:ind w:left="175" w:hanging="142"/>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lastRenderedPageBreak/>
              <w:t>Tingkat Suku Bunga Eropa Faktor Likuiditas (X3)</w:t>
            </w:r>
          </w:p>
          <w:p w:rsidR="000D4C95" w:rsidRPr="007539CC" w:rsidRDefault="000D4C95" w:rsidP="000D4C95">
            <w:pPr>
              <w:pStyle w:val="ListParagraph"/>
              <w:numPr>
                <w:ilvl w:val="0"/>
                <w:numId w:val="2"/>
              </w:numPr>
              <w:autoSpaceDE w:val="0"/>
              <w:autoSpaceDN w:val="0"/>
              <w:adjustRightInd w:val="0"/>
              <w:spacing w:before="240" w:after="0" w:line="240" w:lineRule="auto"/>
              <w:ind w:left="175" w:hanging="142"/>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Cadangan Devisa</w:t>
            </w:r>
          </w:p>
          <w:p w:rsidR="000D4C95" w:rsidRPr="007539CC" w:rsidRDefault="000D4C95" w:rsidP="004630DB">
            <w:pPr>
              <w:pStyle w:val="ListParagraph"/>
              <w:autoSpaceDE w:val="0"/>
              <w:autoSpaceDN w:val="0"/>
              <w:adjustRightInd w:val="0"/>
              <w:spacing w:before="240"/>
              <w:ind w:left="175"/>
              <w:jc w:val="both"/>
              <w:rPr>
                <w:rFonts w:asciiTheme="majorBidi" w:eastAsiaTheme="minorHAnsi" w:hAnsiTheme="majorBidi" w:cstheme="majorBidi"/>
                <w:sz w:val="24"/>
                <w:szCs w:val="24"/>
              </w:rPr>
            </w:pPr>
          </w:p>
          <w:p w:rsidR="000D4C95" w:rsidRPr="007539CC" w:rsidRDefault="000D4C95" w:rsidP="004630DB">
            <w:pPr>
              <w:autoSpaceDE w:val="0"/>
              <w:autoSpaceDN w:val="0"/>
              <w:adjustRightInd w:val="0"/>
              <w:spacing w:before="240" w:line="276" w:lineRule="auto"/>
              <w:jc w:val="both"/>
              <w:rPr>
                <w:rFonts w:asciiTheme="majorBidi" w:hAnsiTheme="majorBidi" w:cstheme="majorBidi"/>
                <w:sz w:val="24"/>
                <w:szCs w:val="24"/>
              </w:rPr>
            </w:pPr>
            <w:r w:rsidRPr="007539CC">
              <w:rPr>
                <w:rFonts w:asciiTheme="majorBidi" w:hAnsiTheme="majorBidi" w:cstheme="majorBidi"/>
                <w:sz w:val="24"/>
                <w:szCs w:val="24"/>
              </w:rPr>
              <w:t>Y = Yield Obligasi</w:t>
            </w:r>
          </w:p>
        </w:tc>
        <w:tc>
          <w:tcPr>
            <w:tcW w:w="1843" w:type="dxa"/>
          </w:tcPr>
          <w:p w:rsidR="000D4C95" w:rsidRPr="007539CC" w:rsidRDefault="000D4C95" w:rsidP="004630DB">
            <w:pPr>
              <w:autoSpaceDE w:val="0"/>
              <w:autoSpaceDN w:val="0"/>
              <w:adjustRightInd w:val="0"/>
              <w:spacing w:before="240" w:line="276" w:lineRule="auto"/>
              <w:jc w:val="both"/>
              <w:rPr>
                <w:rFonts w:asciiTheme="majorBidi" w:hAnsiTheme="majorBidi" w:cstheme="majorBidi"/>
                <w:sz w:val="24"/>
                <w:szCs w:val="24"/>
              </w:rPr>
            </w:pPr>
            <w:r w:rsidRPr="007539CC">
              <w:rPr>
                <w:rFonts w:asciiTheme="majorBidi" w:hAnsiTheme="majorBidi" w:cstheme="majorBidi"/>
                <w:sz w:val="24"/>
                <w:szCs w:val="24"/>
              </w:rPr>
              <w:lastRenderedPageBreak/>
              <w:t>Teknik analisis data pada penelitian ini menggunakan VAR (</w:t>
            </w:r>
            <w:r w:rsidRPr="007539CC">
              <w:rPr>
                <w:rFonts w:asciiTheme="majorBidi" w:hAnsiTheme="majorBidi" w:cstheme="majorBidi"/>
                <w:i/>
                <w:iCs/>
                <w:sz w:val="24"/>
                <w:szCs w:val="24"/>
              </w:rPr>
              <w:t>Vector Auto</w:t>
            </w:r>
            <w:r w:rsidRPr="007539CC">
              <w:rPr>
                <w:rFonts w:asciiTheme="majorBidi" w:hAnsiTheme="majorBidi" w:cstheme="majorBidi"/>
                <w:sz w:val="24"/>
                <w:szCs w:val="24"/>
              </w:rPr>
              <w:t xml:space="preserve"> </w:t>
            </w:r>
            <w:r w:rsidRPr="007539CC">
              <w:rPr>
                <w:rFonts w:asciiTheme="majorBidi" w:hAnsiTheme="majorBidi" w:cstheme="majorBidi"/>
                <w:i/>
                <w:iCs/>
                <w:sz w:val="24"/>
                <w:szCs w:val="24"/>
              </w:rPr>
              <w:t>Regression</w:t>
            </w:r>
            <w:r w:rsidRPr="007539CC">
              <w:rPr>
                <w:rFonts w:asciiTheme="majorBidi" w:hAnsiTheme="majorBidi" w:cstheme="majorBidi"/>
                <w:sz w:val="24"/>
                <w:szCs w:val="24"/>
              </w:rPr>
              <w:t>) atau VECM (</w:t>
            </w:r>
            <w:r w:rsidRPr="007539CC">
              <w:rPr>
                <w:rFonts w:asciiTheme="majorBidi" w:hAnsiTheme="majorBidi" w:cstheme="majorBidi"/>
                <w:i/>
                <w:iCs/>
                <w:sz w:val="24"/>
                <w:szCs w:val="24"/>
              </w:rPr>
              <w:t>Vector Eror Correction</w:t>
            </w:r>
            <w:r w:rsidRPr="007539CC">
              <w:rPr>
                <w:rFonts w:asciiTheme="majorBidi" w:hAnsiTheme="majorBidi" w:cstheme="majorBidi"/>
                <w:sz w:val="24"/>
                <w:szCs w:val="24"/>
              </w:rPr>
              <w:t xml:space="preserve"> </w:t>
            </w:r>
            <w:r w:rsidRPr="007539CC">
              <w:rPr>
                <w:rFonts w:asciiTheme="majorBidi" w:hAnsiTheme="majorBidi" w:cstheme="majorBidi"/>
                <w:i/>
                <w:iCs/>
                <w:sz w:val="24"/>
                <w:szCs w:val="24"/>
              </w:rPr>
              <w:t>Model</w:t>
            </w:r>
            <w:r w:rsidRPr="007539CC">
              <w:rPr>
                <w:rFonts w:asciiTheme="majorBidi" w:hAnsiTheme="majorBidi" w:cstheme="majorBidi"/>
                <w:sz w:val="24"/>
                <w:szCs w:val="24"/>
              </w:rPr>
              <w:t xml:space="preserve">) karena kedua metode ini dapat dilakukan jika data penelitian merupakan </w:t>
            </w:r>
            <w:r w:rsidRPr="007539CC">
              <w:rPr>
                <w:rFonts w:asciiTheme="majorBidi" w:hAnsiTheme="majorBidi" w:cstheme="majorBidi"/>
                <w:sz w:val="24"/>
                <w:szCs w:val="24"/>
              </w:rPr>
              <w:lastRenderedPageBreak/>
              <w:t xml:space="preserve">data </w:t>
            </w:r>
            <w:r w:rsidRPr="007539CC">
              <w:rPr>
                <w:rFonts w:asciiTheme="majorBidi" w:hAnsiTheme="majorBidi" w:cstheme="majorBidi"/>
                <w:i/>
                <w:iCs/>
                <w:sz w:val="24"/>
                <w:szCs w:val="24"/>
              </w:rPr>
              <w:t>time series</w:t>
            </w:r>
          </w:p>
        </w:tc>
        <w:tc>
          <w:tcPr>
            <w:tcW w:w="4173" w:type="dxa"/>
          </w:tcPr>
          <w:p w:rsidR="000D4C95" w:rsidRPr="007539CC" w:rsidRDefault="000D4C95" w:rsidP="000D4C95">
            <w:pPr>
              <w:pStyle w:val="ListParagraph"/>
              <w:numPr>
                <w:ilvl w:val="0"/>
                <w:numId w:val="2"/>
              </w:numPr>
              <w:autoSpaceDE w:val="0"/>
              <w:autoSpaceDN w:val="0"/>
              <w:adjustRightInd w:val="0"/>
              <w:spacing w:before="240" w:after="0" w:line="240" w:lineRule="auto"/>
              <w:ind w:left="318" w:hanging="284"/>
              <w:jc w:val="both"/>
              <w:rPr>
                <w:rFonts w:asciiTheme="majorBidi" w:eastAsiaTheme="minorHAnsi" w:hAnsiTheme="majorBidi" w:cstheme="majorBidi"/>
                <w:sz w:val="24"/>
                <w:szCs w:val="24"/>
              </w:rPr>
            </w:pPr>
            <w:r w:rsidRPr="007539CC">
              <w:rPr>
                <w:rFonts w:asciiTheme="majorBidi" w:eastAsiaTheme="minorHAnsi" w:hAnsiTheme="majorBidi" w:cstheme="majorBidi"/>
                <w:i/>
                <w:iCs/>
                <w:sz w:val="24"/>
                <w:szCs w:val="24"/>
              </w:rPr>
              <w:lastRenderedPageBreak/>
              <w:t xml:space="preserve">Yield </w:t>
            </w:r>
            <w:r w:rsidRPr="007539CC">
              <w:rPr>
                <w:rFonts w:asciiTheme="majorBidi" w:eastAsiaTheme="minorHAnsi" w:hAnsiTheme="majorBidi" w:cstheme="majorBidi"/>
                <w:sz w:val="24"/>
                <w:szCs w:val="24"/>
              </w:rPr>
              <w:t>obligasi pemerintah Indonesia untuk tenor jangka pendek, jangka menengah dan jangka panjang akan bergerak secara fluktuatif karena disebabkan oleh semua variabel yang terdapat pada faktor makro ekonomi, faktor likuiditas dan faktor eksternal</w:t>
            </w:r>
          </w:p>
          <w:p w:rsidR="000D4C95" w:rsidRPr="007539CC" w:rsidRDefault="000D4C95" w:rsidP="004630DB">
            <w:pPr>
              <w:pStyle w:val="ListParagraph"/>
              <w:autoSpaceDE w:val="0"/>
              <w:autoSpaceDN w:val="0"/>
              <w:adjustRightInd w:val="0"/>
              <w:spacing w:before="240"/>
              <w:ind w:left="318"/>
              <w:jc w:val="both"/>
              <w:rPr>
                <w:rFonts w:asciiTheme="majorBidi" w:eastAsiaTheme="minorHAnsi" w:hAnsiTheme="majorBidi" w:cstheme="majorBidi"/>
                <w:sz w:val="24"/>
                <w:szCs w:val="24"/>
              </w:rPr>
            </w:pPr>
          </w:p>
          <w:p w:rsidR="000D4C95" w:rsidRPr="007539CC" w:rsidRDefault="000D4C95" w:rsidP="000D4C95">
            <w:pPr>
              <w:pStyle w:val="ListParagraph"/>
              <w:numPr>
                <w:ilvl w:val="0"/>
                <w:numId w:val="2"/>
              </w:numPr>
              <w:autoSpaceDE w:val="0"/>
              <w:autoSpaceDN w:val="0"/>
              <w:adjustRightInd w:val="0"/>
              <w:spacing w:before="240" w:after="0" w:line="240" w:lineRule="auto"/>
              <w:ind w:left="318" w:hanging="284"/>
              <w:jc w:val="both"/>
              <w:rPr>
                <w:rFonts w:asciiTheme="majorBidi" w:eastAsiaTheme="minorHAnsi" w:hAnsiTheme="majorBidi" w:cstheme="majorBidi"/>
                <w:sz w:val="24"/>
                <w:szCs w:val="24"/>
              </w:rPr>
            </w:pPr>
            <w:r w:rsidRPr="007539CC">
              <w:rPr>
                <w:rFonts w:asciiTheme="majorBidi" w:eastAsiaTheme="minorHAnsi" w:hAnsiTheme="majorBidi" w:cstheme="majorBidi"/>
                <w:i/>
                <w:iCs/>
                <w:sz w:val="24"/>
                <w:szCs w:val="24"/>
              </w:rPr>
              <w:t xml:space="preserve">Yield </w:t>
            </w:r>
            <w:r w:rsidRPr="007539CC">
              <w:rPr>
                <w:rFonts w:asciiTheme="majorBidi" w:eastAsiaTheme="minorHAnsi" w:hAnsiTheme="majorBidi" w:cstheme="majorBidi"/>
                <w:sz w:val="24"/>
                <w:szCs w:val="24"/>
              </w:rPr>
              <w:t xml:space="preserve">obligasi pemerintah pada semua tenor akan mengalami peningkatan ketika </w:t>
            </w:r>
            <w:r w:rsidRPr="007539CC">
              <w:rPr>
                <w:rFonts w:asciiTheme="majorBidi" w:eastAsiaTheme="minorHAnsi" w:hAnsiTheme="majorBidi" w:cstheme="majorBidi"/>
                <w:sz w:val="24"/>
                <w:szCs w:val="24"/>
              </w:rPr>
              <w:lastRenderedPageBreak/>
              <w:t xml:space="preserve">fundamental makro ekonomi seperti inflasi, jumlah uang beredar dan IHSG mengindikasikan sedang mengalami penurunan. Sebalikya, kebijakan moneter ketat yang menyebabkan penurunan BI </w:t>
            </w:r>
            <w:r w:rsidRPr="007539CC">
              <w:rPr>
                <w:rFonts w:asciiTheme="majorBidi" w:eastAsiaTheme="minorHAnsi" w:hAnsiTheme="majorBidi" w:cstheme="majorBidi"/>
                <w:i/>
                <w:iCs/>
                <w:sz w:val="24"/>
                <w:szCs w:val="24"/>
              </w:rPr>
              <w:t xml:space="preserve">rate </w:t>
            </w:r>
            <w:r w:rsidRPr="007539CC">
              <w:rPr>
                <w:rFonts w:asciiTheme="majorBidi" w:eastAsiaTheme="minorHAnsi" w:hAnsiTheme="majorBidi" w:cstheme="majorBidi"/>
                <w:sz w:val="24"/>
                <w:szCs w:val="24"/>
              </w:rPr>
              <w:t xml:space="preserve">dapat membuat </w:t>
            </w:r>
            <w:r w:rsidRPr="007539CC">
              <w:rPr>
                <w:rFonts w:asciiTheme="majorBidi" w:eastAsiaTheme="minorHAnsi" w:hAnsiTheme="majorBidi" w:cstheme="majorBidi"/>
                <w:i/>
                <w:iCs/>
                <w:sz w:val="24"/>
                <w:szCs w:val="24"/>
              </w:rPr>
              <w:t xml:space="preserve">yield </w:t>
            </w:r>
            <w:r w:rsidRPr="007539CC">
              <w:rPr>
                <w:rFonts w:asciiTheme="majorBidi" w:eastAsiaTheme="minorHAnsi" w:hAnsiTheme="majorBidi" w:cstheme="majorBidi"/>
                <w:sz w:val="24"/>
                <w:szCs w:val="24"/>
              </w:rPr>
              <w:t>obligasi turut turun.</w:t>
            </w:r>
          </w:p>
          <w:p w:rsidR="000D4C95" w:rsidRPr="007539CC" w:rsidRDefault="000D4C95" w:rsidP="004630DB">
            <w:pPr>
              <w:pStyle w:val="ListParagraph"/>
              <w:rPr>
                <w:rFonts w:asciiTheme="majorBidi" w:eastAsiaTheme="minorHAnsi" w:hAnsiTheme="majorBidi" w:cstheme="majorBidi"/>
                <w:sz w:val="24"/>
                <w:szCs w:val="24"/>
              </w:rPr>
            </w:pPr>
          </w:p>
          <w:p w:rsidR="000D4C95" w:rsidRPr="007539CC" w:rsidRDefault="000D4C95" w:rsidP="000D4C95">
            <w:pPr>
              <w:pStyle w:val="ListParagraph"/>
              <w:numPr>
                <w:ilvl w:val="0"/>
                <w:numId w:val="2"/>
              </w:numPr>
              <w:autoSpaceDE w:val="0"/>
              <w:autoSpaceDN w:val="0"/>
              <w:adjustRightInd w:val="0"/>
              <w:spacing w:before="240" w:after="0" w:line="240" w:lineRule="auto"/>
              <w:ind w:left="318" w:hanging="284"/>
              <w:jc w:val="both"/>
              <w:rPr>
                <w:rFonts w:asciiTheme="majorBidi" w:eastAsiaTheme="minorHAnsi" w:hAnsiTheme="majorBidi" w:cstheme="majorBidi"/>
                <w:sz w:val="24"/>
                <w:szCs w:val="24"/>
              </w:rPr>
            </w:pPr>
            <w:r w:rsidRPr="007539CC">
              <w:rPr>
                <w:rFonts w:asciiTheme="majorBidi" w:eastAsiaTheme="minorHAnsi" w:hAnsiTheme="majorBidi" w:cstheme="majorBidi"/>
                <w:sz w:val="24"/>
                <w:szCs w:val="24"/>
              </w:rPr>
              <w:t xml:space="preserve">Kondisi eksternal yang terjadi di luar Indonesia seperti kenaikan tingkat bunga acuan di Eropa dapat menyebabkan </w:t>
            </w:r>
            <w:r w:rsidRPr="007539CC">
              <w:rPr>
                <w:rFonts w:asciiTheme="majorBidi" w:eastAsiaTheme="minorHAnsi" w:hAnsiTheme="majorBidi" w:cstheme="majorBidi"/>
                <w:i/>
                <w:iCs/>
                <w:sz w:val="24"/>
                <w:szCs w:val="24"/>
              </w:rPr>
              <w:t xml:space="preserve">yield </w:t>
            </w:r>
            <w:r w:rsidRPr="007539CC">
              <w:rPr>
                <w:rFonts w:asciiTheme="majorBidi" w:eastAsiaTheme="minorHAnsi" w:hAnsiTheme="majorBidi" w:cstheme="majorBidi"/>
                <w:sz w:val="24"/>
                <w:szCs w:val="24"/>
              </w:rPr>
              <w:t xml:space="preserve">obligasi semakin rendah. Namun seblikya, meningkatnya kemampuan likuiditas yang dimiliki oleh pemerintah Indonesia yang diwakili oleh cadangan devisa justru menyebabkan </w:t>
            </w:r>
            <w:r w:rsidRPr="007539CC">
              <w:rPr>
                <w:rFonts w:asciiTheme="majorBidi" w:eastAsiaTheme="minorHAnsi" w:hAnsiTheme="majorBidi" w:cstheme="majorBidi"/>
                <w:i/>
                <w:iCs/>
                <w:sz w:val="24"/>
                <w:szCs w:val="24"/>
              </w:rPr>
              <w:t xml:space="preserve">yield </w:t>
            </w:r>
            <w:r w:rsidRPr="007539CC">
              <w:rPr>
                <w:rFonts w:asciiTheme="majorBidi" w:eastAsiaTheme="minorHAnsi" w:hAnsiTheme="majorBidi" w:cstheme="majorBidi"/>
                <w:sz w:val="24"/>
                <w:szCs w:val="24"/>
              </w:rPr>
              <w:t xml:space="preserve">obligasi yang ditetapkan oleh pemerintah Indonesia </w:t>
            </w:r>
            <w:r w:rsidRPr="007539CC">
              <w:rPr>
                <w:rFonts w:asciiTheme="majorBidi" w:eastAsiaTheme="minorHAnsi" w:hAnsiTheme="majorBidi" w:cstheme="majorBidi"/>
                <w:sz w:val="24"/>
                <w:szCs w:val="24"/>
              </w:rPr>
              <w:lastRenderedPageBreak/>
              <w:t>semakin bertambah besar</w:t>
            </w:r>
          </w:p>
        </w:tc>
      </w:tr>
      <w:tr w:rsidR="000D4C95" w:rsidRPr="007539CC" w:rsidTr="004630DB">
        <w:tc>
          <w:tcPr>
            <w:tcW w:w="562" w:type="dxa"/>
          </w:tcPr>
          <w:p w:rsidR="000D4C95" w:rsidRPr="007539CC" w:rsidRDefault="000D4C95" w:rsidP="004630DB">
            <w:pPr>
              <w:spacing w:line="276" w:lineRule="auto"/>
              <w:rPr>
                <w:rFonts w:asciiTheme="majorBidi" w:hAnsiTheme="majorBidi" w:cstheme="majorBidi"/>
                <w:sz w:val="24"/>
                <w:szCs w:val="24"/>
              </w:rPr>
            </w:pPr>
            <w:r w:rsidRPr="007539CC">
              <w:rPr>
                <w:rFonts w:asciiTheme="majorBidi" w:hAnsiTheme="majorBidi" w:cstheme="majorBidi"/>
                <w:sz w:val="24"/>
                <w:szCs w:val="24"/>
              </w:rPr>
              <w:lastRenderedPageBreak/>
              <w:t>3</w:t>
            </w:r>
          </w:p>
        </w:tc>
        <w:tc>
          <w:tcPr>
            <w:tcW w:w="2693" w:type="dxa"/>
          </w:tcPr>
          <w:p w:rsidR="000D4C95" w:rsidRPr="007539CC" w:rsidRDefault="000D4C95" w:rsidP="004630DB">
            <w:pPr>
              <w:spacing w:line="276" w:lineRule="auto"/>
              <w:rPr>
                <w:rFonts w:asciiTheme="majorBidi" w:hAnsiTheme="majorBidi" w:cstheme="majorBidi"/>
                <w:sz w:val="24"/>
                <w:szCs w:val="24"/>
              </w:rPr>
            </w:pPr>
            <w:r w:rsidRPr="007539CC">
              <w:rPr>
                <w:rFonts w:asciiTheme="majorBidi" w:hAnsiTheme="majorBidi" w:cstheme="majorBidi"/>
                <w:bCs/>
                <w:sz w:val="24"/>
                <w:szCs w:val="24"/>
              </w:rPr>
              <w:t>Ayu Inayatul Munfi’i, (2010) Analisis   Pengaruh Faktor Ekternal dan Internal    Terhadap Penetapan   Tingkat Sewa  Pada Obligasi      Syariah Ijarah Di Indonesia.</w:t>
            </w:r>
          </w:p>
        </w:tc>
        <w:tc>
          <w:tcPr>
            <w:tcW w:w="2126" w:type="dxa"/>
          </w:tcPr>
          <w:p w:rsidR="000D4C95" w:rsidRPr="007539CC" w:rsidRDefault="000D4C95" w:rsidP="004630DB">
            <w:pPr>
              <w:spacing w:line="276" w:lineRule="auto"/>
              <w:rPr>
                <w:rFonts w:asciiTheme="majorBidi" w:hAnsiTheme="majorBidi" w:cstheme="majorBidi"/>
                <w:sz w:val="24"/>
                <w:szCs w:val="24"/>
              </w:rPr>
            </w:pPr>
            <w:r w:rsidRPr="007539CC">
              <w:rPr>
                <w:rFonts w:asciiTheme="majorBidi" w:hAnsiTheme="majorBidi" w:cstheme="majorBidi"/>
                <w:bCs/>
                <w:sz w:val="24"/>
                <w:szCs w:val="24"/>
              </w:rPr>
              <w:t>Untuk mengetahui sebarapa besar pengruh fktor ekstrnal dan internal terhadap penetapan tingkat sewa pada obligasi syariah ijarah di Indonesia.</w:t>
            </w:r>
          </w:p>
        </w:tc>
        <w:tc>
          <w:tcPr>
            <w:tcW w:w="1701"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 xml:space="preserve">Faktor Ekternal (X1) </w:t>
            </w:r>
          </w:p>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Faktor Internal     (X2)</w:t>
            </w:r>
          </w:p>
          <w:p w:rsidR="000D4C95" w:rsidRPr="007539CC" w:rsidRDefault="000D4C95" w:rsidP="004630DB">
            <w:pPr>
              <w:spacing w:line="276" w:lineRule="auto"/>
              <w:jc w:val="both"/>
              <w:rPr>
                <w:rFonts w:asciiTheme="majorBidi" w:hAnsiTheme="majorBidi" w:cstheme="majorBidi"/>
                <w:bCs/>
                <w:sz w:val="24"/>
                <w:szCs w:val="24"/>
              </w:rPr>
            </w:pPr>
          </w:p>
          <w:p w:rsidR="000D4C95" w:rsidRPr="007539CC" w:rsidRDefault="000D4C95" w:rsidP="004630DB">
            <w:pPr>
              <w:spacing w:line="276" w:lineRule="auto"/>
              <w:rPr>
                <w:rFonts w:asciiTheme="majorBidi" w:hAnsiTheme="majorBidi" w:cstheme="majorBidi"/>
                <w:sz w:val="24"/>
                <w:szCs w:val="24"/>
              </w:rPr>
            </w:pPr>
            <w:r w:rsidRPr="007539CC">
              <w:rPr>
                <w:rFonts w:asciiTheme="majorBidi" w:hAnsiTheme="majorBidi" w:cstheme="majorBidi"/>
                <w:bCs/>
                <w:sz w:val="24"/>
                <w:szCs w:val="24"/>
              </w:rPr>
              <w:t>Penetapan   Tingkat Sewa  Pada Obligasi      Syariah (Y)</w:t>
            </w:r>
          </w:p>
        </w:tc>
        <w:tc>
          <w:tcPr>
            <w:tcW w:w="1843" w:type="dxa"/>
          </w:tcPr>
          <w:p w:rsidR="000D4C95" w:rsidRPr="007539CC" w:rsidRDefault="000D4C95" w:rsidP="004630DB">
            <w:pPr>
              <w:spacing w:line="276" w:lineRule="auto"/>
              <w:rPr>
                <w:rFonts w:asciiTheme="majorBidi" w:hAnsiTheme="majorBidi" w:cstheme="majorBidi"/>
                <w:sz w:val="24"/>
                <w:szCs w:val="24"/>
              </w:rPr>
            </w:pPr>
            <w:r w:rsidRPr="007539CC">
              <w:rPr>
                <w:rFonts w:asciiTheme="majorBidi" w:hAnsiTheme="majorBidi" w:cstheme="majorBidi"/>
                <w:bCs/>
                <w:sz w:val="24"/>
                <w:szCs w:val="24"/>
              </w:rPr>
              <w:t>Regresi Berganda</w:t>
            </w:r>
          </w:p>
        </w:tc>
        <w:tc>
          <w:tcPr>
            <w:tcW w:w="417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Secara simultan itu variable ekternal    dan internal punyai pengaruh    signifikan terhadap penetapan        tingkat sewa. Sedangkan secara       parsial variable PDB, rasio lancer dan penutupan bunga mempunyai pengaruh signifikan dan variable ROA, BI rate, inflasi dan rasio laverage tidak mempunyai pengaruh signifikan.</w:t>
            </w:r>
          </w:p>
        </w:tc>
      </w:tr>
      <w:tr w:rsidR="000D4C95" w:rsidRPr="007539CC" w:rsidTr="004630DB">
        <w:tc>
          <w:tcPr>
            <w:tcW w:w="562" w:type="dxa"/>
          </w:tcPr>
          <w:p w:rsidR="000D4C95" w:rsidRPr="007539CC" w:rsidRDefault="000D4C95" w:rsidP="004630DB">
            <w:pPr>
              <w:spacing w:before="240" w:line="276" w:lineRule="auto"/>
              <w:ind w:left="318" w:hanging="283"/>
              <w:jc w:val="both"/>
              <w:rPr>
                <w:rFonts w:asciiTheme="majorBidi" w:hAnsiTheme="majorBidi" w:cstheme="majorBidi"/>
                <w:bCs/>
                <w:sz w:val="24"/>
                <w:szCs w:val="24"/>
              </w:rPr>
            </w:pPr>
            <w:r w:rsidRPr="007539CC">
              <w:rPr>
                <w:rFonts w:asciiTheme="majorBidi" w:hAnsiTheme="majorBidi" w:cstheme="majorBidi"/>
                <w:bCs/>
                <w:sz w:val="24"/>
                <w:szCs w:val="24"/>
              </w:rPr>
              <w:t>4.</w:t>
            </w:r>
          </w:p>
        </w:tc>
        <w:bookmarkStart w:id="1" w:name="bau0005"/>
        <w:tc>
          <w:tcPr>
            <w:tcW w:w="2693" w:type="dxa"/>
          </w:tcPr>
          <w:p w:rsidR="000D4C95" w:rsidRPr="007539CC" w:rsidRDefault="000D4C95" w:rsidP="004630DB">
            <w:pPr>
              <w:spacing w:before="240" w:line="276" w:lineRule="auto"/>
              <w:ind w:left="34" w:firstLine="1"/>
              <w:jc w:val="both"/>
              <w:rPr>
                <w:rFonts w:asciiTheme="majorBidi" w:hAnsiTheme="majorBidi" w:cstheme="majorBidi"/>
                <w:sz w:val="24"/>
                <w:szCs w:val="24"/>
              </w:rPr>
            </w:pPr>
            <w:r w:rsidRPr="007539CC">
              <w:rPr>
                <w:rFonts w:asciiTheme="majorBidi" w:hAnsiTheme="majorBidi" w:cstheme="majorBidi"/>
                <w:sz w:val="24"/>
                <w:szCs w:val="24"/>
                <w:lang w:eastAsia="id-ID"/>
              </w:rPr>
              <w:fldChar w:fldCharType="begin"/>
            </w:r>
            <w:r w:rsidRPr="007539CC">
              <w:rPr>
                <w:rFonts w:asciiTheme="majorBidi" w:hAnsiTheme="majorBidi" w:cstheme="majorBidi"/>
                <w:sz w:val="24"/>
                <w:szCs w:val="24"/>
                <w:lang w:eastAsia="id-ID"/>
              </w:rPr>
              <w:instrText xml:space="preserve"> HYPERLINK "https://www.sciencedirect.com/science/article/pii/S0140988318302032" \l "!" </w:instrText>
            </w:r>
            <w:r w:rsidRPr="007539CC">
              <w:rPr>
                <w:rFonts w:asciiTheme="majorBidi" w:hAnsiTheme="majorBidi" w:cstheme="majorBidi"/>
                <w:sz w:val="24"/>
                <w:szCs w:val="24"/>
                <w:lang w:eastAsia="id-ID"/>
              </w:rPr>
              <w:fldChar w:fldCharType="separate"/>
            </w:r>
            <w:r w:rsidRPr="007539CC">
              <w:rPr>
                <w:rFonts w:asciiTheme="majorBidi" w:hAnsiTheme="majorBidi" w:cstheme="majorBidi"/>
                <w:sz w:val="24"/>
                <w:szCs w:val="24"/>
                <w:lang w:eastAsia="id-ID"/>
              </w:rPr>
              <w:t>Juan C.Reboredo</w:t>
            </w:r>
            <w:r w:rsidRPr="007539CC">
              <w:rPr>
                <w:rFonts w:asciiTheme="majorBidi" w:hAnsiTheme="majorBidi" w:cstheme="majorBidi"/>
                <w:sz w:val="24"/>
                <w:szCs w:val="24"/>
                <w:lang w:eastAsia="id-ID"/>
              </w:rPr>
              <w:fldChar w:fldCharType="end"/>
            </w:r>
            <w:bookmarkEnd w:id="1"/>
            <w:r w:rsidRPr="007539CC">
              <w:rPr>
                <w:rFonts w:asciiTheme="majorBidi" w:hAnsiTheme="majorBidi" w:cstheme="majorBidi"/>
                <w:sz w:val="24"/>
                <w:szCs w:val="24"/>
                <w:lang w:eastAsia="id-ID"/>
              </w:rPr>
              <w:t>, (</w:t>
            </w:r>
            <w:r w:rsidRPr="007539CC">
              <w:rPr>
                <w:rFonts w:asciiTheme="majorBidi" w:hAnsiTheme="majorBidi" w:cstheme="majorBidi"/>
                <w:sz w:val="24"/>
                <w:szCs w:val="24"/>
              </w:rPr>
              <w:t xml:space="preserve">2018) </w:t>
            </w:r>
            <w:r w:rsidRPr="007539CC">
              <w:rPr>
                <w:rStyle w:val="title-text"/>
                <w:rFonts w:asciiTheme="majorBidi" w:hAnsiTheme="majorBidi" w:cstheme="majorBidi"/>
                <w:sz w:val="24"/>
                <w:szCs w:val="24"/>
              </w:rPr>
              <w:t xml:space="preserve">Green Bond and Financial Markets: Co-Movement, Diversification and Price Spillover Effects </w:t>
            </w:r>
          </w:p>
        </w:tc>
        <w:tc>
          <w:tcPr>
            <w:tcW w:w="2126"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p>
        </w:tc>
        <w:tc>
          <w:tcPr>
            <w:tcW w:w="1701"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p>
        </w:tc>
        <w:tc>
          <w:tcPr>
            <w:tcW w:w="184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Penelitian empiris, lapangan.</w:t>
            </w:r>
          </w:p>
        </w:tc>
        <w:tc>
          <w:tcPr>
            <w:tcW w:w="417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sz w:val="24"/>
                <w:szCs w:val="24"/>
              </w:rPr>
              <w:t xml:space="preserve">Dalam </w:t>
            </w:r>
            <w:r w:rsidRPr="007539CC">
              <w:rPr>
                <w:rFonts w:asciiTheme="majorBidi" w:hAnsiTheme="majorBidi" w:cstheme="majorBidi"/>
                <w:iCs/>
                <w:sz w:val="24"/>
                <w:szCs w:val="24"/>
              </w:rPr>
              <w:t>penelitian ini</w:t>
            </w:r>
            <w:r w:rsidRPr="007539CC">
              <w:rPr>
                <w:rFonts w:asciiTheme="majorBidi" w:hAnsiTheme="majorBidi" w:cstheme="majorBidi"/>
                <w:sz w:val="24"/>
                <w:szCs w:val="24"/>
              </w:rPr>
              <w:t xml:space="preserve"> menunjukan adanya pergerakan bersama antara green bond dan pasar keuangan, sehingga  menemukan bahwa pasar  green bond berpasangan dengan pasar obligasi korporasi dan treasury dan secara lemah bergerak bersama dengan </w:t>
            </w:r>
            <w:r w:rsidRPr="007539CC">
              <w:rPr>
                <w:rFonts w:asciiTheme="majorBidi" w:hAnsiTheme="majorBidi" w:cstheme="majorBidi"/>
                <w:sz w:val="24"/>
                <w:szCs w:val="24"/>
              </w:rPr>
              <w:lastRenderedPageBreak/>
              <w:t>pasar komoditas dan komoditas energi.Dia menemukan bahwa green bond memiliki manfaat diversifikasi yang dapat diabaikan bagi investor di pasar korporasi dan treasury, sedangkan manfaat diversifikasi cukup besar bagi investor di pasar saham dan energ</w:t>
            </w:r>
          </w:p>
        </w:tc>
      </w:tr>
      <w:tr w:rsidR="000D4C95" w:rsidRPr="007539CC" w:rsidTr="004630DB">
        <w:tc>
          <w:tcPr>
            <w:tcW w:w="562" w:type="dxa"/>
          </w:tcPr>
          <w:p w:rsidR="000D4C95" w:rsidRPr="007539CC" w:rsidRDefault="000D4C95" w:rsidP="004630DB">
            <w:pPr>
              <w:spacing w:before="240" w:line="276" w:lineRule="auto"/>
              <w:ind w:left="318" w:hanging="283"/>
              <w:jc w:val="both"/>
              <w:rPr>
                <w:rFonts w:asciiTheme="majorBidi" w:hAnsiTheme="majorBidi" w:cstheme="majorBidi"/>
                <w:bCs/>
                <w:sz w:val="24"/>
                <w:szCs w:val="24"/>
              </w:rPr>
            </w:pPr>
            <w:r w:rsidRPr="007539CC">
              <w:rPr>
                <w:rFonts w:asciiTheme="majorBidi" w:hAnsiTheme="majorBidi" w:cstheme="majorBidi"/>
                <w:bCs/>
                <w:sz w:val="24"/>
                <w:szCs w:val="24"/>
              </w:rPr>
              <w:lastRenderedPageBreak/>
              <w:t>5.</w:t>
            </w:r>
          </w:p>
        </w:tc>
        <w:tc>
          <w:tcPr>
            <w:tcW w:w="2693" w:type="dxa"/>
          </w:tcPr>
          <w:p w:rsidR="000D4C95" w:rsidRPr="007539CC" w:rsidRDefault="000D4C95" w:rsidP="004630DB">
            <w:pPr>
              <w:spacing w:before="240" w:line="276" w:lineRule="auto"/>
              <w:ind w:left="34" w:firstLine="1"/>
              <w:jc w:val="both"/>
              <w:rPr>
                <w:rFonts w:asciiTheme="majorBidi" w:hAnsiTheme="majorBidi" w:cstheme="majorBidi"/>
                <w:sz w:val="24"/>
                <w:szCs w:val="24"/>
                <w:lang w:eastAsia="id-ID"/>
              </w:rPr>
            </w:pPr>
            <w:r w:rsidRPr="007539CC">
              <w:rPr>
                <w:rFonts w:asciiTheme="majorBidi" w:hAnsiTheme="majorBidi" w:cstheme="majorBidi"/>
                <w:sz w:val="24"/>
                <w:szCs w:val="24"/>
              </w:rPr>
              <w:t>Linh Pham</w:t>
            </w:r>
            <w:r w:rsidRPr="007539CC">
              <w:rPr>
                <w:rFonts w:asciiTheme="majorBidi" w:hAnsiTheme="majorBidi" w:cstheme="majorBidi"/>
                <w:sz w:val="24"/>
                <w:szCs w:val="24"/>
                <w:lang w:eastAsia="id-ID"/>
              </w:rPr>
              <w:t xml:space="preserve">, </w:t>
            </w:r>
            <w:r w:rsidRPr="007539CC">
              <w:rPr>
                <w:rFonts w:asciiTheme="majorBidi" w:hAnsiTheme="majorBidi" w:cstheme="majorBidi"/>
                <w:sz w:val="24"/>
                <w:szCs w:val="24"/>
              </w:rPr>
              <w:t>(2016) Is it risky to go green? A volatility analysis of the green bond market</w:t>
            </w:r>
          </w:p>
        </w:tc>
        <w:tc>
          <w:tcPr>
            <w:tcW w:w="2126" w:type="dxa"/>
          </w:tcPr>
          <w:p w:rsidR="000D4C95" w:rsidRPr="007539CC" w:rsidRDefault="000D4C95" w:rsidP="004630DB">
            <w:pPr>
              <w:spacing w:before="240" w:line="276" w:lineRule="auto"/>
              <w:ind w:left="34" w:firstLine="1"/>
              <w:jc w:val="both"/>
              <w:rPr>
                <w:rFonts w:asciiTheme="majorBidi" w:hAnsiTheme="majorBidi" w:cstheme="majorBidi"/>
                <w:sz w:val="24"/>
                <w:szCs w:val="24"/>
              </w:rPr>
            </w:pPr>
            <w:r w:rsidRPr="007539CC">
              <w:rPr>
                <w:rFonts w:asciiTheme="majorBidi" w:hAnsiTheme="majorBidi" w:cstheme="majorBidi"/>
                <w:sz w:val="24"/>
                <w:szCs w:val="24"/>
              </w:rPr>
              <w:t xml:space="preserve">Untuk menganalisis perilaku volatilitas pasar green bond menggunakan data pada harga penutupan harian indeks green bond S&amp;P antara April 2010 dan April 2015. </w:t>
            </w:r>
          </w:p>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sz w:val="24"/>
                <w:szCs w:val="24"/>
              </w:rPr>
              <w:t>Untuk membangun kerangka kerja GARCH multivarian</w:t>
            </w:r>
          </w:p>
        </w:tc>
        <w:tc>
          <w:tcPr>
            <w:tcW w:w="1701"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p>
        </w:tc>
        <w:tc>
          <w:tcPr>
            <w:tcW w:w="184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Penelitian empiris, lapangan.</w:t>
            </w:r>
          </w:p>
        </w:tc>
        <w:tc>
          <w:tcPr>
            <w:tcW w:w="4173" w:type="dxa"/>
          </w:tcPr>
          <w:p w:rsidR="000D4C95" w:rsidRPr="007539CC" w:rsidRDefault="000D4C95" w:rsidP="004630DB">
            <w:pPr>
              <w:spacing w:before="240" w:line="276" w:lineRule="auto"/>
              <w:ind w:left="34" w:firstLine="1"/>
              <w:jc w:val="both"/>
              <w:rPr>
                <w:rFonts w:asciiTheme="majorBidi" w:hAnsiTheme="majorBidi" w:cstheme="majorBidi"/>
                <w:sz w:val="24"/>
                <w:szCs w:val="24"/>
              </w:rPr>
            </w:pPr>
            <w:r w:rsidRPr="007539CC">
              <w:rPr>
                <w:rFonts w:asciiTheme="majorBidi" w:hAnsiTheme="majorBidi" w:cstheme="majorBidi"/>
                <w:sz w:val="24"/>
                <w:szCs w:val="24"/>
              </w:rPr>
              <w:t xml:space="preserve">Hasil empiris ini menunjukkan bahwa 'berlabel' segmen pasar green bond mengalami pengelompokan volatilitas yang besar sementara pola pengelompokan volatilitas lebih lemah di segmen pasar yang 'tidak berlabel'. Peneliti juga menemukan bahwa kejutan di pasar green konvensional keseluruhan cenderung meluas ke pasar green bond, di mana efek </w:t>
            </w:r>
            <w:r w:rsidRPr="007539CC">
              <w:rPr>
                <w:rFonts w:asciiTheme="majorBidi" w:hAnsiTheme="majorBidi" w:cstheme="majorBidi"/>
                <w:sz w:val="24"/>
                <w:szCs w:val="24"/>
              </w:rPr>
              <w:lastRenderedPageBreak/>
              <w:t>limpahan ini bervariasi dari waktu ke waktu. Hasil ini adalah wawasan yang berarti ke dalam pasar baru yang sangat menjanjikan ini, oleh karena itu, memiliki implikasi penting untuk harga aset, manajemen portofolio dan manajemen risiko.</w:t>
            </w:r>
          </w:p>
        </w:tc>
      </w:tr>
      <w:tr w:rsidR="000D4C95" w:rsidRPr="007539CC" w:rsidTr="004630DB">
        <w:tc>
          <w:tcPr>
            <w:tcW w:w="562" w:type="dxa"/>
          </w:tcPr>
          <w:p w:rsidR="000D4C95" w:rsidRPr="007539CC" w:rsidRDefault="000D4C95" w:rsidP="004630DB">
            <w:pPr>
              <w:spacing w:before="240" w:line="276" w:lineRule="auto"/>
              <w:ind w:left="318" w:hanging="283"/>
              <w:jc w:val="both"/>
              <w:rPr>
                <w:rFonts w:asciiTheme="majorBidi" w:hAnsiTheme="majorBidi" w:cstheme="majorBidi"/>
                <w:bCs/>
                <w:sz w:val="24"/>
                <w:szCs w:val="24"/>
              </w:rPr>
            </w:pPr>
            <w:r w:rsidRPr="007539CC">
              <w:rPr>
                <w:rFonts w:asciiTheme="majorBidi" w:hAnsiTheme="majorBidi" w:cstheme="majorBidi"/>
                <w:bCs/>
                <w:sz w:val="24"/>
                <w:szCs w:val="24"/>
              </w:rPr>
              <w:lastRenderedPageBreak/>
              <w:t>6.</w:t>
            </w:r>
          </w:p>
        </w:tc>
        <w:tc>
          <w:tcPr>
            <w:tcW w:w="269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hyperlink r:id="rId5" w:tooltip="Christa Clapp" w:history="1">
              <w:r w:rsidRPr="007539CC">
                <w:rPr>
                  <w:rStyle w:val="Hyperlink"/>
                  <w:rFonts w:asciiTheme="majorBidi" w:hAnsiTheme="majorBidi" w:cstheme="majorBidi"/>
                  <w:sz w:val="24"/>
                  <w:szCs w:val="24"/>
                </w:rPr>
                <w:t>Christa Clapp</w:t>
              </w:r>
            </w:hyperlink>
            <w:r w:rsidRPr="007539CC">
              <w:rPr>
                <w:rFonts w:asciiTheme="majorBidi" w:hAnsiTheme="majorBidi" w:cstheme="majorBidi"/>
                <w:sz w:val="24"/>
                <w:szCs w:val="24"/>
                <w:shd w:val="clear" w:color="auto" w:fill="FFFFFF"/>
              </w:rPr>
              <w:t>and </w:t>
            </w:r>
            <w:r w:rsidRPr="007539CC">
              <w:rPr>
                <w:rFonts w:asciiTheme="majorBidi" w:hAnsiTheme="majorBidi" w:cstheme="majorBidi"/>
                <w:bCs/>
                <w:sz w:val="24"/>
                <w:szCs w:val="24"/>
              </w:rPr>
              <w:t xml:space="preserve"> dan </w:t>
            </w:r>
            <w:hyperlink r:id="rId6" w:tooltip="Kamleshan Pillay" w:history="1">
              <w:r w:rsidRPr="007539CC">
                <w:rPr>
                  <w:rStyle w:val="Hyperlink"/>
                  <w:rFonts w:asciiTheme="majorBidi" w:hAnsiTheme="majorBidi" w:cstheme="majorBidi"/>
                  <w:sz w:val="24"/>
                  <w:szCs w:val="24"/>
                </w:rPr>
                <w:t>Kamleshan Pillay</w:t>
              </w:r>
            </w:hyperlink>
            <w:r w:rsidRPr="007539CC">
              <w:rPr>
                <w:rFonts w:asciiTheme="majorBidi" w:hAnsiTheme="majorBidi" w:cstheme="majorBidi"/>
                <w:bCs/>
                <w:sz w:val="24"/>
                <w:szCs w:val="24"/>
              </w:rPr>
              <w:t>, (</w:t>
            </w:r>
            <w:r w:rsidRPr="007539CC">
              <w:rPr>
                <w:rFonts w:asciiTheme="majorBidi" w:hAnsiTheme="majorBidi" w:cstheme="majorBidi"/>
                <w:sz w:val="24"/>
                <w:szCs w:val="24"/>
              </w:rPr>
              <w:t>2017) Green Bonds and Climate Finance</w:t>
            </w:r>
          </w:p>
          <w:p w:rsidR="000D4C95" w:rsidRPr="007539CC" w:rsidRDefault="000D4C95" w:rsidP="004630DB">
            <w:pPr>
              <w:spacing w:before="240" w:line="276" w:lineRule="auto"/>
              <w:ind w:left="34" w:firstLine="1"/>
              <w:jc w:val="both"/>
              <w:rPr>
                <w:rFonts w:asciiTheme="majorBidi" w:hAnsiTheme="majorBidi" w:cstheme="majorBidi"/>
                <w:bCs/>
                <w:sz w:val="24"/>
                <w:szCs w:val="24"/>
              </w:rPr>
            </w:pPr>
          </w:p>
        </w:tc>
        <w:tc>
          <w:tcPr>
            <w:tcW w:w="2126" w:type="dxa"/>
          </w:tcPr>
          <w:p w:rsidR="000D4C95" w:rsidRPr="007539CC" w:rsidRDefault="000D4C95" w:rsidP="004630DB">
            <w:pPr>
              <w:spacing w:before="240" w:line="276" w:lineRule="auto"/>
              <w:ind w:left="34" w:firstLine="1"/>
              <w:jc w:val="both"/>
              <w:rPr>
                <w:rFonts w:asciiTheme="majorBidi" w:hAnsiTheme="majorBidi" w:cstheme="majorBidi"/>
                <w:sz w:val="24"/>
                <w:szCs w:val="24"/>
              </w:rPr>
            </w:pPr>
            <w:r w:rsidRPr="007539CC">
              <w:rPr>
                <w:rFonts w:asciiTheme="majorBidi" w:hAnsiTheme="majorBidi" w:cstheme="majorBidi"/>
                <w:sz w:val="24"/>
                <w:szCs w:val="24"/>
              </w:rPr>
              <w:t>Untuk melihat dominasi iklim pendanaan Green Bood</w:t>
            </w:r>
          </w:p>
          <w:p w:rsidR="000D4C95" w:rsidRPr="007539CC" w:rsidRDefault="000D4C95" w:rsidP="004630DB">
            <w:pPr>
              <w:spacing w:before="240" w:line="276" w:lineRule="auto"/>
              <w:ind w:left="34" w:firstLine="1"/>
              <w:jc w:val="both"/>
              <w:rPr>
                <w:rFonts w:asciiTheme="majorBidi" w:hAnsiTheme="majorBidi" w:cstheme="majorBidi"/>
                <w:bCs/>
                <w:sz w:val="24"/>
                <w:szCs w:val="24"/>
              </w:rPr>
            </w:pPr>
          </w:p>
          <w:p w:rsidR="000D4C95" w:rsidRPr="007539CC" w:rsidRDefault="000D4C95" w:rsidP="004630DB">
            <w:pPr>
              <w:spacing w:before="240" w:line="276" w:lineRule="auto"/>
              <w:ind w:left="34" w:firstLine="1"/>
              <w:jc w:val="both"/>
              <w:rPr>
                <w:rFonts w:asciiTheme="majorBidi" w:hAnsiTheme="majorBidi" w:cstheme="majorBidi"/>
                <w:bCs/>
                <w:sz w:val="24"/>
                <w:szCs w:val="24"/>
              </w:rPr>
            </w:pPr>
          </w:p>
        </w:tc>
        <w:tc>
          <w:tcPr>
            <w:tcW w:w="1701"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p>
        </w:tc>
        <w:tc>
          <w:tcPr>
            <w:tcW w:w="184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Penelitian empiris, lapangan.</w:t>
            </w:r>
          </w:p>
        </w:tc>
        <w:tc>
          <w:tcPr>
            <w:tcW w:w="417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 xml:space="preserve">Adaun hasil penelitian ini menunjukan bahwa </w:t>
            </w:r>
            <w:r w:rsidRPr="007539CC">
              <w:rPr>
                <w:rFonts w:asciiTheme="majorBidi" w:hAnsiTheme="majorBidi" w:cstheme="majorBidi"/>
                <w:sz w:val="24"/>
                <w:szCs w:val="24"/>
              </w:rPr>
              <w:t>pasar obligasi hijau telah berkembang pesat dalam beberapa tahun terakhir, dan terus menunjukkan janji untuk melanjutkan aksi perbaikan iklim. Bank pembangunan multilateral telah paling aktif dalam menerbitkan obligasi hijau untuk mendukung lingkungan mereka dan agenda pembangunan.</w:t>
            </w:r>
          </w:p>
        </w:tc>
      </w:tr>
      <w:tr w:rsidR="000D4C95" w:rsidRPr="007539CC" w:rsidTr="004630DB">
        <w:tc>
          <w:tcPr>
            <w:tcW w:w="562" w:type="dxa"/>
          </w:tcPr>
          <w:p w:rsidR="000D4C95" w:rsidRPr="007539CC" w:rsidRDefault="000D4C95" w:rsidP="004630DB">
            <w:pPr>
              <w:spacing w:before="240" w:line="276" w:lineRule="auto"/>
              <w:ind w:left="318" w:hanging="283"/>
              <w:jc w:val="both"/>
              <w:rPr>
                <w:rFonts w:asciiTheme="majorBidi" w:hAnsiTheme="majorBidi" w:cstheme="majorBidi"/>
                <w:bCs/>
                <w:sz w:val="24"/>
                <w:szCs w:val="24"/>
              </w:rPr>
            </w:pPr>
            <w:r w:rsidRPr="007539CC">
              <w:rPr>
                <w:rFonts w:asciiTheme="majorBidi" w:hAnsiTheme="majorBidi" w:cstheme="majorBidi"/>
                <w:bCs/>
                <w:sz w:val="24"/>
                <w:szCs w:val="24"/>
              </w:rPr>
              <w:lastRenderedPageBreak/>
              <w:t>7.</w:t>
            </w:r>
          </w:p>
        </w:tc>
        <w:tc>
          <w:tcPr>
            <w:tcW w:w="269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sz w:val="24"/>
                <w:szCs w:val="24"/>
              </w:rPr>
              <w:t>Nafis Alam</w:t>
            </w:r>
            <w:r w:rsidRPr="007539CC">
              <w:rPr>
                <w:rFonts w:asciiTheme="majorBidi" w:hAnsiTheme="majorBidi" w:cstheme="majorBidi"/>
                <w:spacing w:val="4"/>
                <w:sz w:val="24"/>
                <w:szCs w:val="24"/>
                <w:shd w:val="clear" w:color="auto" w:fill="FCFCFC"/>
              </w:rPr>
              <w:t xml:space="preserve">, (2016) </w:t>
            </w:r>
            <w:r w:rsidRPr="007539CC">
              <w:rPr>
                <w:rFonts w:asciiTheme="majorBidi" w:hAnsiTheme="majorBidi" w:cstheme="majorBidi"/>
                <w:sz w:val="24"/>
                <w:szCs w:val="24"/>
              </w:rPr>
              <w:t>Green Sukuk: An Innovation in Islamic Capital Markets</w:t>
            </w:r>
          </w:p>
        </w:tc>
        <w:tc>
          <w:tcPr>
            <w:tcW w:w="2126"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sz w:val="24"/>
                <w:szCs w:val="24"/>
              </w:rPr>
              <w:t>Penelitian ini bertujuan untuk membahas potensi sukuk hijau di pasar keuangan Islam</w:t>
            </w:r>
          </w:p>
        </w:tc>
        <w:tc>
          <w:tcPr>
            <w:tcW w:w="1701"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p>
        </w:tc>
        <w:tc>
          <w:tcPr>
            <w:tcW w:w="184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Penelitian empiris.</w:t>
            </w:r>
          </w:p>
        </w:tc>
        <w:tc>
          <w:tcPr>
            <w:tcW w:w="417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sz w:val="24"/>
                <w:szCs w:val="24"/>
              </w:rPr>
              <w:t>Hasil penelitian tentang green sukuk ini adalah dapat memetakan perbedaan antara jenis investasi tanggung jawab sosial (SRI) yang lebih konvensional dan dana yang dipandu oleh moral yang dipromosikan melalui Islam. Penelitian ini juga menyajikan studi kasus Sukuk Orasis Prancis, sukuk hijau pertama yang ada.</w:t>
            </w:r>
          </w:p>
        </w:tc>
      </w:tr>
      <w:tr w:rsidR="000D4C95" w:rsidRPr="007539CC" w:rsidTr="004630DB">
        <w:tc>
          <w:tcPr>
            <w:tcW w:w="562" w:type="dxa"/>
          </w:tcPr>
          <w:p w:rsidR="000D4C95" w:rsidRPr="007539CC" w:rsidRDefault="000D4C95" w:rsidP="004630DB">
            <w:pPr>
              <w:spacing w:before="240" w:line="276" w:lineRule="auto"/>
              <w:ind w:left="318" w:hanging="283"/>
              <w:jc w:val="both"/>
              <w:rPr>
                <w:rFonts w:asciiTheme="majorBidi" w:hAnsiTheme="majorBidi" w:cstheme="majorBidi"/>
                <w:bCs/>
                <w:sz w:val="24"/>
                <w:szCs w:val="24"/>
              </w:rPr>
            </w:pPr>
            <w:r w:rsidRPr="007539CC">
              <w:rPr>
                <w:rFonts w:asciiTheme="majorBidi" w:hAnsiTheme="majorBidi" w:cstheme="majorBidi"/>
                <w:bCs/>
                <w:sz w:val="24"/>
                <w:szCs w:val="24"/>
              </w:rPr>
              <w:t>8.</w:t>
            </w:r>
          </w:p>
        </w:tc>
        <w:tc>
          <w:tcPr>
            <w:tcW w:w="269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hyperlink r:id="rId7" w:tgtFrame="_blank" w:tooltip="View other papers by this author" w:history="1">
              <w:r w:rsidRPr="007539CC">
                <w:rPr>
                  <w:rStyle w:val="Hyperlink"/>
                  <w:rFonts w:asciiTheme="majorBidi" w:hAnsiTheme="majorBidi" w:cstheme="majorBidi"/>
                  <w:sz w:val="24"/>
                  <w:szCs w:val="24"/>
                </w:rPr>
                <w:t>Olivier David Zerbib</w:t>
              </w:r>
            </w:hyperlink>
            <w:r w:rsidRPr="007539CC">
              <w:rPr>
                <w:rFonts w:asciiTheme="majorBidi" w:hAnsiTheme="majorBidi" w:cstheme="majorBidi"/>
                <w:sz w:val="24"/>
                <w:szCs w:val="24"/>
              </w:rPr>
              <w:t>, (2017) The Green Bond Premium</w:t>
            </w:r>
          </w:p>
          <w:p w:rsidR="000D4C95" w:rsidRPr="007539CC" w:rsidRDefault="000D4C95" w:rsidP="004630DB">
            <w:pPr>
              <w:spacing w:before="240" w:line="276" w:lineRule="auto"/>
              <w:jc w:val="both"/>
              <w:rPr>
                <w:rFonts w:asciiTheme="majorBidi" w:hAnsiTheme="majorBidi" w:cstheme="majorBidi"/>
                <w:bCs/>
                <w:sz w:val="24"/>
                <w:szCs w:val="24"/>
              </w:rPr>
            </w:pPr>
          </w:p>
        </w:tc>
        <w:tc>
          <w:tcPr>
            <w:tcW w:w="2126"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p>
        </w:tc>
        <w:tc>
          <w:tcPr>
            <w:tcW w:w="1701"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p>
        </w:tc>
        <w:tc>
          <w:tcPr>
            <w:tcW w:w="184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Penelitian empiris, lapangan.</w:t>
            </w:r>
          </w:p>
        </w:tc>
        <w:tc>
          <w:tcPr>
            <w:tcW w:w="4173" w:type="dxa"/>
          </w:tcPr>
          <w:p w:rsidR="000D4C95" w:rsidRPr="007539CC" w:rsidRDefault="000D4C95" w:rsidP="004630DB">
            <w:pPr>
              <w:spacing w:before="240" w:line="276" w:lineRule="auto"/>
              <w:jc w:val="both"/>
              <w:rPr>
                <w:rFonts w:asciiTheme="majorBidi" w:hAnsiTheme="majorBidi" w:cstheme="majorBidi"/>
                <w:bCs/>
                <w:sz w:val="24"/>
                <w:szCs w:val="24"/>
              </w:rPr>
            </w:pPr>
            <w:r w:rsidRPr="007539CC">
              <w:rPr>
                <w:rFonts w:asciiTheme="majorBidi" w:hAnsiTheme="majorBidi" w:cstheme="majorBidi"/>
                <w:sz w:val="24"/>
                <w:szCs w:val="24"/>
              </w:rPr>
              <w:t xml:space="preserve">Adapun hasil penelitian bahwa premium obligasi hijau rata-rata ditemukan secara signifikan negatif dari tanggal penerbitan obligasi hijau hingga 30 Desember 2016, terutama di beberapa segmen </w:t>
            </w:r>
            <w:r w:rsidRPr="007539CC">
              <w:rPr>
                <w:rFonts w:asciiTheme="majorBidi" w:hAnsiTheme="majorBidi" w:cstheme="majorBidi"/>
                <w:sz w:val="24"/>
                <w:szCs w:val="24"/>
              </w:rPr>
              <w:lastRenderedPageBreak/>
              <w:t xml:space="preserve">pasar seperti obligasi di bawah-AAA EUR dan USD di mana jumlah yang dikeluarkan lebih besar dari USD 100 juta (Masing-masing 4 bps dan -9 bps). Peneliti kemudian menjelaskan premi ini dengan karakteristik obligasi untuk menyusun kembali kurva hasil hijau. Peneliti menyimpulkan bahwa langkah-langkah peraturan dan fiskal dapat membantu untuk terus memberi makan pipa dan menciptakan insentif untuk meningkatkan </w:t>
            </w:r>
            <w:r w:rsidRPr="007539CC">
              <w:rPr>
                <w:rFonts w:asciiTheme="majorBidi" w:hAnsiTheme="majorBidi" w:cstheme="majorBidi"/>
                <w:sz w:val="24"/>
                <w:szCs w:val="24"/>
              </w:rPr>
              <w:lastRenderedPageBreak/>
              <w:t>volume penerbitan green bond.</w:t>
            </w:r>
          </w:p>
        </w:tc>
      </w:tr>
      <w:tr w:rsidR="000D4C95" w:rsidRPr="007539CC" w:rsidTr="004630DB">
        <w:tc>
          <w:tcPr>
            <w:tcW w:w="562" w:type="dxa"/>
          </w:tcPr>
          <w:p w:rsidR="000D4C95" w:rsidRPr="007539CC" w:rsidRDefault="000D4C95" w:rsidP="004630DB">
            <w:pPr>
              <w:spacing w:before="240" w:line="276" w:lineRule="auto"/>
              <w:ind w:left="318" w:hanging="283"/>
              <w:jc w:val="both"/>
              <w:rPr>
                <w:rFonts w:asciiTheme="majorBidi" w:hAnsiTheme="majorBidi" w:cstheme="majorBidi"/>
                <w:bCs/>
                <w:sz w:val="24"/>
                <w:szCs w:val="24"/>
              </w:rPr>
            </w:pPr>
            <w:r w:rsidRPr="007539CC">
              <w:rPr>
                <w:rFonts w:asciiTheme="majorBidi" w:hAnsiTheme="majorBidi" w:cstheme="majorBidi"/>
                <w:bCs/>
                <w:sz w:val="24"/>
                <w:szCs w:val="24"/>
              </w:rPr>
              <w:lastRenderedPageBreak/>
              <w:t>9.</w:t>
            </w:r>
          </w:p>
        </w:tc>
        <w:tc>
          <w:tcPr>
            <w:tcW w:w="269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sz w:val="24"/>
                <w:szCs w:val="24"/>
              </w:rPr>
              <w:t>EhlersTorste Frank, (2017) Green Bond Finance and Certification</w:t>
            </w:r>
          </w:p>
        </w:tc>
        <w:tc>
          <w:tcPr>
            <w:tcW w:w="2126"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p>
        </w:tc>
        <w:tc>
          <w:tcPr>
            <w:tcW w:w="1701"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p>
        </w:tc>
        <w:tc>
          <w:tcPr>
            <w:tcW w:w="184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Penelitian empiris, lapangan.</w:t>
            </w:r>
          </w:p>
        </w:tc>
        <w:tc>
          <w:tcPr>
            <w:tcW w:w="417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 xml:space="preserve">Hasil penelitian ini menunjukan bahwa </w:t>
            </w:r>
            <w:r w:rsidRPr="007539CC">
              <w:rPr>
                <w:rFonts w:asciiTheme="majorBidi" w:hAnsiTheme="majorBidi" w:cstheme="majorBidi"/>
                <w:sz w:val="24"/>
                <w:szCs w:val="24"/>
              </w:rPr>
              <w:t>bagian yang relatif besar dari green bond berada di sektor-sektor yang memiliki risiko kredit terkait lingkungan, hal ini karena sejalan dengan fungsi utama operasional Green Bond. Dan Standar green bond yang lebih konsisten di seluruh yurisdiksi dapat membantu mengembangkan lingkungan dan pasar lebih lanjut.</w:t>
            </w:r>
          </w:p>
        </w:tc>
      </w:tr>
      <w:tr w:rsidR="000D4C95" w:rsidRPr="000D4C95" w:rsidTr="004630DB">
        <w:tc>
          <w:tcPr>
            <w:tcW w:w="562" w:type="dxa"/>
          </w:tcPr>
          <w:p w:rsidR="000D4C95" w:rsidRPr="007539CC" w:rsidRDefault="000D4C95" w:rsidP="004630DB">
            <w:pPr>
              <w:spacing w:before="240" w:line="276" w:lineRule="auto"/>
              <w:ind w:left="318" w:hanging="283"/>
              <w:jc w:val="both"/>
              <w:rPr>
                <w:rFonts w:asciiTheme="majorBidi" w:hAnsiTheme="majorBidi" w:cstheme="majorBidi"/>
                <w:bCs/>
                <w:sz w:val="24"/>
                <w:szCs w:val="24"/>
              </w:rPr>
            </w:pPr>
            <w:r w:rsidRPr="007539CC">
              <w:rPr>
                <w:rFonts w:asciiTheme="majorBidi" w:hAnsiTheme="majorBidi" w:cstheme="majorBidi"/>
                <w:bCs/>
                <w:sz w:val="24"/>
                <w:szCs w:val="24"/>
              </w:rPr>
              <w:t>10.</w:t>
            </w:r>
          </w:p>
        </w:tc>
        <w:tc>
          <w:tcPr>
            <w:tcW w:w="269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 xml:space="preserve">Nicko Dwi Nurali, Fanny Widadie, Oki Wijaya (2011), Penilaian Perilaku  Etika Bisnis Perusahan pada  Beberapa Kasus </w:t>
            </w:r>
            <w:r w:rsidRPr="007539CC">
              <w:rPr>
                <w:rFonts w:asciiTheme="majorBidi" w:hAnsiTheme="majorBidi" w:cstheme="majorBidi"/>
                <w:bCs/>
                <w:sz w:val="24"/>
                <w:szCs w:val="24"/>
              </w:rPr>
              <w:lastRenderedPageBreak/>
              <w:t>Pencemaran Lingkungan Hidup</w:t>
            </w:r>
          </w:p>
        </w:tc>
        <w:tc>
          <w:tcPr>
            <w:tcW w:w="2126"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lastRenderedPageBreak/>
              <w:t>Untuk mengetahui bagaimana penerapan penilaian Perilaku  Etika Bisnis Perusahan terhadap Kasus Pencemaran Lingkungan Hidup</w:t>
            </w:r>
          </w:p>
        </w:tc>
        <w:tc>
          <w:tcPr>
            <w:tcW w:w="1701"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Penilaian Perilaku  Etika Bisnis Perusahan (X)</w:t>
            </w:r>
          </w:p>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Pencemaran Lingkungan Hidup (Y)</w:t>
            </w:r>
          </w:p>
        </w:tc>
        <w:tc>
          <w:tcPr>
            <w:tcW w:w="184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Penelitian empiris dan pendekatan kualitatif.</w:t>
            </w:r>
          </w:p>
        </w:tc>
        <w:tc>
          <w:tcPr>
            <w:tcW w:w="417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 xml:space="preserve">Dalam  penelitian  ini  dapat  disimpulkan bahwa  penyebab  utama terjadinya kasus pencemaran  lingkungan hidup ini adalah   penyimpangan   </w:t>
            </w:r>
            <w:r w:rsidRPr="007539CC">
              <w:rPr>
                <w:rFonts w:asciiTheme="majorBidi" w:hAnsiTheme="majorBidi" w:cstheme="majorBidi"/>
                <w:bCs/>
                <w:sz w:val="24"/>
                <w:szCs w:val="24"/>
              </w:rPr>
              <w:lastRenderedPageBreak/>
              <w:t>pelaksanaan   etika   bisnis. Dimana pengambilan keputusan  bisnisnya  memiliki  nilai-nilai  yang  sangat  jauh  dari  nilai  filsafat etika.  Etika  bisnis  yang  dijalankan  tidak  selaras  denga  teori  nilai  etika lingkungan. Maka dari itu perlu dilakukan rekonstruksi paradigma etika bisnis untuk lebih selaras dengan lingkungan melalui pembelajaran nilai-nilai moral pada  pelaku bisnis dan adanya  penegakan hukum serta penerapan  kode etik perusahaan secara praktis.</w:t>
            </w:r>
          </w:p>
        </w:tc>
      </w:tr>
      <w:tr w:rsidR="000D4C95" w:rsidRPr="007539CC" w:rsidTr="004630DB">
        <w:tc>
          <w:tcPr>
            <w:tcW w:w="562" w:type="dxa"/>
          </w:tcPr>
          <w:p w:rsidR="000D4C95" w:rsidRPr="007539CC" w:rsidRDefault="000D4C95" w:rsidP="004630DB">
            <w:pPr>
              <w:spacing w:before="240" w:line="276" w:lineRule="auto"/>
              <w:ind w:left="318" w:hanging="283"/>
              <w:jc w:val="both"/>
              <w:rPr>
                <w:rFonts w:asciiTheme="majorBidi" w:hAnsiTheme="majorBidi" w:cstheme="majorBidi"/>
                <w:bCs/>
                <w:sz w:val="24"/>
                <w:szCs w:val="24"/>
              </w:rPr>
            </w:pPr>
            <w:r w:rsidRPr="007539CC">
              <w:rPr>
                <w:rFonts w:asciiTheme="majorBidi" w:hAnsiTheme="majorBidi" w:cstheme="majorBidi"/>
                <w:bCs/>
                <w:sz w:val="24"/>
                <w:szCs w:val="24"/>
              </w:rPr>
              <w:lastRenderedPageBreak/>
              <w:t>11.</w:t>
            </w:r>
          </w:p>
        </w:tc>
        <w:tc>
          <w:tcPr>
            <w:tcW w:w="269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 xml:space="preserve">Nur Fresi Anastasia  (2013). Pelaksanaan  Corporate Social  Responsibility (CSR) terhadap  Pengelolaan Limbah Perspektif  Kaidah Fiqih (Studi  </w:t>
            </w:r>
            <w:r w:rsidRPr="007539CC">
              <w:rPr>
                <w:rFonts w:asciiTheme="majorBidi" w:hAnsiTheme="majorBidi" w:cstheme="majorBidi"/>
                <w:bCs/>
                <w:sz w:val="24"/>
                <w:szCs w:val="24"/>
              </w:rPr>
              <w:lastRenderedPageBreak/>
              <w:t xml:space="preserve">pada PT. Kertas  Basuki Rahmat Banyuwagi.  </w:t>
            </w:r>
          </w:p>
        </w:tc>
        <w:tc>
          <w:tcPr>
            <w:tcW w:w="2126"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lastRenderedPageBreak/>
              <w:t xml:space="preserve">Untuk mengetahui Pelaksanaan (CSR) terhadap Pengelolaan Limbah Perspektif Kaidah Fiqih (Studi pada PT. Kertas </w:t>
            </w:r>
            <w:r w:rsidRPr="007539CC">
              <w:rPr>
                <w:rFonts w:asciiTheme="majorBidi" w:hAnsiTheme="majorBidi" w:cstheme="majorBidi"/>
                <w:bCs/>
                <w:sz w:val="24"/>
                <w:szCs w:val="24"/>
              </w:rPr>
              <w:lastRenderedPageBreak/>
              <w:t xml:space="preserve">Basuki Rahmat Banyuwangi.  </w:t>
            </w:r>
          </w:p>
        </w:tc>
        <w:tc>
          <w:tcPr>
            <w:tcW w:w="1701"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lastRenderedPageBreak/>
              <w:t>Pelaksanaan (CSR) (X)</w:t>
            </w:r>
          </w:p>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Pengelolaan Limbah Perspektif Kaidah Fiqih (Y)</w:t>
            </w:r>
          </w:p>
          <w:p w:rsidR="000D4C95" w:rsidRPr="007539CC" w:rsidRDefault="000D4C95" w:rsidP="004630DB">
            <w:pPr>
              <w:spacing w:before="240" w:line="276" w:lineRule="auto"/>
              <w:ind w:left="34" w:firstLine="1"/>
              <w:jc w:val="both"/>
              <w:rPr>
                <w:rFonts w:asciiTheme="majorBidi" w:hAnsiTheme="majorBidi" w:cstheme="majorBidi"/>
                <w:bCs/>
                <w:sz w:val="24"/>
                <w:szCs w:val="24"/>
              </w:rPr>
            </w:pPr>
          </w:p>
        </w:tc>
        <w:tc>
          <w:tcPr>
            <w:tcW w:w="184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lastRenderedPageBreak/>
              <w:t>Jenis penelitian empiris dan pendekatan kualitatif. (Studi Kasus)</w:t>
            </w:r>
          </w:p>
        </w:tc>
        <w:tc>
          <w:tcPr>
            <w:tcW w:w="4173" w:type="dxa"/>
          </w:tcPr>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Hasil penelitian yang diperoleh  yaitu  bahwa  PT  KBR  Banyuwangi melakukan  tanggung  jawab  sosial  dan lingkungan dengan cara  melakukan kegiatan-</w:t>
            </w:r>
            <w:r w:rsidRPr="007539CC">
              <w:rPr>
                <w:rFonts w:asciiTheme="majorBidi" w:hAnsiTheme="majorBidi" w:cstheme="majorBidi"/>
                <w:bCs/>
                <w:sz w:val="24"/>
                <w:szCs w:val="24"/>
              </w:rPr>
              <w:lastRenderedPageBreak/>
              <w:t xml:space="preserve">kegiatan  sosial  untuk masyarakat, membuat  lapangan sepak bolauntuk kegiatan  masyarakat, memberi santunan  kepada anak yatim, dan memberi hewan qurban pada hari raya idul adha. Akan tetapi semua kegiatan sosial diatas tidak terstruktur  secara  sistematis, sehingga hal tersebut  belum bisa dikataka sebagai bentuk pelaksanaan tanggung jawab sosial perusahaan. Karena pelaksanaan CSR harus dimuat dalam laporan tahunan perseroan yang dipertanggung jawabkan kepada   RUPS. Selain dipertanggung   jawabkan kepada RUPS, kegiatan CSR tersebut juga harus dilaporkan ke BKPM (Badan Koordinasi  Penanaman </w:t>
            </w:r>
            <w:r w:rsidRPr="007539CC">
              <w:rPr>
                <w:rFonts w:asciiTheme="majorBidi" w:hAnsiTheme="majorBidi" w:cstheme="majorBidi"/>
                <w:bCs/>
                <w:sz w:val="24"/>
                <w:szCs w:val="24"/>
              </w:rPr>
              <w:lastRenderedPageBreak/>
              <w:t xml:space="preserve">Modal). Sehingga  BKPM mengetahui perusahaan-perusahaan yang melaksanakan  CSR  dan  tidak.  Dan  hal  itu  tidak  dilakukan oleh PT KBR, namun tidak mendapat sanksi dari BKPM. </w:t>
            </w:r>
          </w:p>
          <w:p w:rsidR="000D4C95" w:rsidRPr="007539CC" w:rsidRDefault="000D4C95" w:rsidP="004630DB">
            <w:pPr>
              <w:spacing w:before="240" w:line="276" w:lineRule="auto"/>
              <w:ind w:left="34" w:firstLine="1"/>
              <w:jc w:val="both"/>
              <w:rPr>
                <w:rFonts w:asciiTheme="majorBidi" w:hAnsiTheme="majorBidi" w:cstheme="majorBidi"/>
                <w:bCs/>
                <w:sz w:val="24"/>
                <w:szCs w:val="24"/>
              </w:rPr>
            </w:pPr>
            <w:r w:rsidRPr="007539CC">
              <w:rPr>
                <w:rFonts w:asciiTheme="majorBidi" w:hAnsiTheme="majorBidi" w:cstheme="majorBidi"/>
                <w:bCs/>
                <w:sz w:val="24"/>
                <w:szCs w:val="24"/>
              </w:rPr>
              <w:t>PT KBR ini juga sudah mempunyai  tim pengelolaan lingkungan, sehingga   mereka   berharap   lebih   dini lagi dalam menangani masalah lingkungan.  Meskipun  sebenarnya  sudah  ada  tim  HSE  (</w:t>
            </w:r>
            <w:r w:rsidRPr="007539CC">
              <w:rPr>
                <w:rFonts w:asciiTheme="majorBidi" w:hAnsiTheme="majorBidi" w:cstheme="majorBidi"/>
                <w:bCs/>
                <w:i/>
                <w:sz w:val="24"/>
                <w:szCs w:val="24"/>
              </w:rPr>
              <w:t>Health  and  Safety Environment</w:t>
            </w:r>
            <w:r w:rsidRPr="007539CC">
              <w:rPr>
                <w:rFonts w:asciiTheme="majorBidi" w:hAnsiTheme="majorBidi" w:cstheme="majorBidi"/>
                <w:bCs/>
                <w:sz w:val="24"/>
                <w:szCs w:val="24"/>
              </w:rPr>
              <w:t xml:space="preserve">). Hanya dengan  orang  yang  masih  terbatas  jumlah  tenaganya tidak  banyak  dan  tugas  HSE  itu  cukup  banyak,  sehingga  belum  maksimal untuk penanganan masalah lingkungan. Sehingga </w:t>
            </w:r>
            <w:r w:rsidRPr="007539CC">
              <w:rPr>
                <w:rFonts w:asciiTheme="majorBidi" w:hAnsiTheme="majorBidi" w:cstheme="majorBidi"/>
                <w:bCs/>
                <w:sz w:val="24"/>
                <w:szCs w:val="24"/>
              </w:rPr>
              <w:lastRenderedPageBreak/>
              <w:t>lebih banyak ditangani oleh tim pengelola lingkungan.</w:t>
            </w:r>
          </w:p>
        </w:tc>
      </w:tr>
    </w:tbl>
    <w:p w:rsidR="000D4C95" w:rsidRDefault="000D4C95"/>
    <w:sectPr w:rsidR="000D4C95" w:rsidSect="000D4C9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156C"/>
    <w:multiLevelType w:val="hybridMultilevel"/>
    <w:tmpl w:val="512207F0"/>
    <w:lvl w:ilvl="0" w:tplc="E3BE6A7E">
      <w:start w:val="1"/>
      <w:numFmt w:val="upp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B213E8B"/>
    <w:multiLevelType w:val="hybridMultilevel"/>
    <w:tmpl w:val="4204F8EE"/>
    <w:lvl w:ilvl="0" w:tplc="5C360E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C5E32"/>
    <w:multiLevelType w:val="hybridMultilevel"/>
    <w:tmpl w:val="A488A1CC"/>
    <w:lvl w:ilvl="0" w:tplc="5C360E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95"/>
    <w:rsid w:val="000D4C95"/>
    <w:rsid w:val="008F2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A88A3-0636-40A6-B8E8-7E112A99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4C95"/>
    <w:pPr>
      <w:spacing w:after="200" w:line="276" w:lineRule="auto"/>
      <w:ind w:left="720"/>
      <w:contextualSpacing/>
    </w:pPr>
    <w:rPr>
      <w:rFonts w:eastAsia="Times New Roman"/>
    </w:rPr>
  </w:style>
  <w:style w:type="character" w:customStyle="1" w:styleId="ListParagraphChar">
    <w:name w:val="List Paragraph Char"/>
    <w:basedOn w:val="DefaultParagraphFont"/>
    <w:link w:val="ListParagraph"/>
    <w:uiPriority w:val="34"/>
    <w:rsid w:val="000D4C95"/>
    <w:rPr>
      <w:rFonts w:eastAsia="Times New Roman"/>
    </w:rPr>
  </w:style>
  <w:style w:type="character" w:styleId="Hyperlink">
    <w:name w:val="Hyperlink"/>
    <w:uiPriority w:val="99"/>
    <w:unhideWhenUsed/>
    <w:rsid w:val="000D4C95"/>
    <w:rPr>
      <w:color w:val="0563C1"/>
      <w:u w:val="single"/>
    </w:rPr>
  </w:style>
  <w:style w:type="table" w:styleId="TableGrid">
    <w:name w:val="Table Grid"/>
    <w:basedOn w:val="TableNormal"/>
    <w:uiPriority w:val="39"/>
    <w:rsid w:val="000D4C95"/>
    <w:pPr>
      <w:spacing w:after="0" w:line="240" w:lineRule="auto"/>
      <w:ind w:left="714" w:hanging="357"/>
    </w:pPr>
    <w:rPr>
      <w:rFonts w:eastAsia="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text">
    <w:name w:val="title-text"/>
    <w:basedOn w:val="DefaultParagraphFont"/>
    <w:rsid w:val="000D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pers.ssrn.com/sol3/cf_dev/AbsByAuth.cfm?per_id=25911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scientific.com/doi/abs/10.1142/9789814641814_0005" TargetMode="External"/><Relationship Id="rId5" Type="http://schemas.openxmlformats.org/officeDocument/2006/relationships/hyperlink" Target="https://www.worldscientific.com/doi/abs/10.1142/9789814641814_000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1765</Words>
  <Characters>10063</Characters>
  <Application>Microsoft Office Word</Application>
  <DocSecurity>0</DocSecurity>
  <Lines>83</Lines>
  <Paragraphs>23</Paragraphs>
  <ScaleCrop>false</ScaleCrop>
  <Company/>
  <LinksUpToDate>false</LinksUpToDate>
  <CharactersWithSpaces>11805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bitComp</dc:creator>
  <cp:keywords/>
  <dc:description/>
  <cp:lastModifiedBy>bitComp</cp:lastModifiedBy>
  <cp:revision>1</cp:revision>
  <dcterms:created xsi:type="dcterms:W3CDTF">2019-07-07T19:52:00Z</dcterms:created>
  <dcterms:modified xsi:type="dcterms:W3CDTF">2019-07-07T19:53:00Z</dcterms:modified>
</cp:coreProperties>
</file>